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宋体"/>
          <w:lang w:eastAsia="zh-CN"/>
        </w:rPr>
      </w:pPr>
      <w:r>
        <w:rPr>
          <w:rFonts w:hint="eastAsia" w:ascii="Times New Roman" w:hAnsi="Times New Roman"/>
        </w:rPr>
        <w:t xml:space="preserve">T/SLEA </w:t>
      </w:r>
      <w:r>
        <w:rPr>
          <w:rFonts w:hint="eastAsia" w:ascii="Times New Roman" w:hAnsi="Times New Roman"/>
          <w:lang w:val="en-US" w:eastAsia="zh-CN"/>
        </w:rPr>
        <w:t>0041.</w:t>
      </w:r>
      <w:r>
        <w:rPr>
          <w:rFonts w:hint="default" w:ascii="Times New Roman" w:hAnsi="Times New Roman"/>
          <w:lang w:eastAsia="zh-CN"/>
        </w:rPr>
        <w:t>4</w:t>
      </w:r>
      <w:r>
        <w:rPr>
          <w:rFonts w:hint="eastAsia" w:ascii="Times New Roman" w:hAnsi="Times New Roman"/>
        </w:rPr>
        <w:t>-202</w:t>
      </w:r>
      <w:r>
        <w:rPr>
          <w:rFonts w:hint="eastAsia" w:ascii="Times New Roman" w:hAnsi="Times New Roman"/>
          <w:lang w:val="en-US" w:eastAsia="zh-CN"/>
        </w:rPr>
        <w:t>2</w:t>
      </w:r>
    </w:p>
    <w:p>
      <w:pPr>
        <w:pStyle w:val="7"/>
        <w:spacing w:line="360" w:lineRule="auto"/>
        <w:rPr>
          <w:rFonts w:hint="eastAsia" w:ascii="Times New Roman"/>
          <w:color w:val="auto"/>
          <w:szCs w:val="52"/>
        </w:rPr>
      </w:pPr>
    </w:p>
    <w:p>
      <w:pPr>
        <w:pStyle w:val="7"/>
        <w:spacing w:line="360" w:lineRule="auto"/>
        <w:jc w:val="both"/>
        <w:rPr>
          <w:rFonts w:hint="eastAsia" w:ascii="Times New Roman"/>
          <w:color w:val="auto"/>
          <w:szCs w:val="52"/>
        </w:rPr>
      </w:pPr>
    </w:p>
    <w:p>
      <w:pPr>
        <w:pStyle w:val="7"/>
        <w:spacing w:line="360" w:lineRule="auto"/>
        <w:rPr>
          <w:rFonts w:hint="eastAsia" w:ascii="Times New Roman"/>
          <w:color w:val="auto"/>
          <w:sz w:val="32"/>
          <w:szCs w:val="32"/>
        </w:rPr>
      </w:pPr>
    </w:p>
    <w:p>
      <w:pPr>
        <w:pStyle w:val="7"/>
        <w:snapToGrid w:val="0"/>
        <w:spacing w:line="360" w:lineRule="auto"/>
        <w:rPr>
          <w:rFonts w:hint="eastAsia" w:ascii="宋体" w:hAnsi="宋体" w:eastAsia="宋体" w:cs="宋体"/>
          <w:sz w:val="34"/>
          <w:szCs w:val="34"/>
        </w:rPr>
      </w:pPr>
      <w:r>
        <w:rPr>
          <w:rFonts w:hint="eastAsia" w:ascii="宋体" w:hAnsi="宋体" w:eastAsia="宋体" w:cs="宋体"/>
          <w:sz w:val="34"/>
          <w:szCs w:val="34"/>
        </w:rPr>
        <w:t>实验室用水气配件技术规范</w:t>
      </w:r>
      <w:r>
        <w:rPr>
          <w:rFonts w:hint="eastAsia" w:ascii="宋体" w:hAnsi="宋体" w:eastAsia="宋体" w:cs="宋体"/>
          <w:sz w:val="34"/>
          <w:szCs w:val="34"/>
          <w:lang w:val="en-US" w:eastAsia="zh-CN"/>
        </w:rPr>
        <w:t xml:space="preserve"> </w:t>
      </w:r>
      <w:r>
        <w:rPr>
          <w:rFonts w:hint="eastAsia" w:ascii="宋体" w:hAnsi="宋体" w:eastAsia="宋体" w:cs="宋体"/>
          <w:sz w:val="34"/>
          <w:szCs w:val="34"/>
        </w:rPr>
        <w:t>第4部分：气阀</w:t>
      </w:r>
    </w:p>
    <w:p>
      <w:pPr>
        <w:pStyle w:val="7"/>
        <w:snapToGrid w:val="0"/>
        <w:spacing w:line="360" w:lineRule="auto"/>
        <w:rPr>
          <w:rFonts w:hint="eastAsia" w:ascii="宋体" w:hAnsi="宋体" w:eastAsia="宋体" w:cs="宋体"/>
          <w:sz w:val="34"/>
          <w:szCs w:val="34"/>
          <w:lang w:eastAsia="zh-CN"/>
        </w:rPr>
      </w:pPr>
    </w:p>
    <w:p>
      <w:pPr>
        <w:pStyle w:val="7"/>
        <w:snapToGrid w:val="0"/>
        <w:spacing w:line="360" w:lineRule="auto"/>
        <w:jc w:val="center"/>
        <w:rPr>
          <w:rFonts w:hint="eastAsia" w:ascii="宋体" w:hAnsi="宋体" w:eastAsia="宋体" w:cs="宋体"/>
          <w:sz w:val="34"/>
          <w:szCs w:val="34"/>
          <w:lang w:val="en-US" w:eastAsia="zh-CN"/>
        </w:rPr>
      </w:pPr>
      <w:r>
        <w:rPr>
          <w:rFonts w:hint="eastAsia" w:ascii="宋体" w:hAnsi="宋体" w:eastAsia="宋体" w:cs="宋体"/>
          <w:sz w:val="34"/>
          <w:szCs w:val="34"/>
          <w:lang w:val="en-US" w:eastAsia="zh-CN"/>
        </w:rPr>
        <w:t>编制说明</w:t>
      </w:r>
    </w:p>
    <w:p>
      <w:pPr>
        <w:pStyle w:val="7"/>
        <w:snapToGrid w:val="0"/>
        <w:spacing w:line="360" w:lineRule="auto"/>
        <w:rPr>
          <w:rFonts w:ascii="Times New Roman" w:eastAsiaTheme="minorEastAsia"/>
          <w:sz w:val="28"/>
          <w:szCs w:val="28"/>
        </w:rPr>
      </w:pPr>
      <w:r>
        <w:rPr>
          <w:rFonts w:ascii="Times New Roman" w:eastAsiaTheme="minorEastAsia"/>
          <w:sz w:val="28"/>
          <w:szCs w:val="28"/>
        </w:rPr>
        <w:t>（</w:t>
      </w:r>
      <w:r>
        <w:rPr>
          <w:rFonts w:hint="eastAsia" w:ascii="Times New Roman" w:eastAsiaTheme="minorEastAsia"/>
          <w:sz w:val="28"/>
          <w:szCs w:val="28"/>
        </w:rPr>
        <w:t>征求意见稿</w:t>
      </w:r>
      <w:r>
        <w:rPr>
          <w:rFonts w:ascii="Times New Roman" w:eastAsiaTheme="minorEastAsia"/>
          <w:sz w:val="28"/>
          <w:szCs w:val="28"/>
        </w:rPr>
        <w:t>）</w:t>
      </w: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rPr>
          <w:rFonts w:ascii="Times New Roman" w:hAnsi="Times New Roma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完成单位：上海北友实验设备有限公司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哈弥顿实验室设备（上海）有限公司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上海台雄</w:t>
      </w:r>
      <w:r>
        <w:rPr>
          <w:rFonts w:hint="eastAsia" w:ascii="宋体" w:hAnsi="宋体" w:cs="宋体"/>
          <w:sz w:val="28"/>
          <w:szCs w:val="28"/>
          <w:lang w:val="en-US" w:eastAsia="zh-CN"/>
        </w:rPr>
        <w:t>科技发展集团</w:t>
      </w:r>
      <w:r>
        <w:rPr>
          <w:rFonts w:hint="eastAsia" w:ascii="宋体" w:hAnsi="宋体" w:cs="宋体"/>
          <w:sz w:val="28"/>
          <w:szCs w:val="28"/>
        </w:rPr>
        <w:t>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上海西斯贝尔工业科技有限公司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lang w:val="en-US" w:eastAsia="zh-CN"/>
        </w:rPr>
        <w:t xml:space="preserve">            </w:t>
      </w:r>
      <w:r>
        <w:rPr>
          <w:rFonts w:hint="eastAsia" w:ascii="宋体" w:hAnsi="宋体" w:cs="宋体"/>
          <w:sz w:val="28"/>
          <w:szCs w:val="28"/>
        </w:rPr>
        <w:t>河北润旺达洁具制造有限公司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w:t>
      </w:r>
      <w:r>
        <w:rPr>
          <w:rFonts w:hint="eastAsia" w:ascii="宋体" w:hAnsi="宋体" w:cs="宋体"/>
          <w:sz w:val="28"/>
          <w:szCs w:val="28"/>
        </w:rPr>
        <w:t>浙江科恩实验设备有限公司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r>
        <w:rPr>
          <w:rFonts w:hint="eastAsia" w:ascii="宋体" w:hAnsi="宋体" w:cs="宋体"/>
          <w:sz w:val="28"/>
          <w:szCs w:val="28"/>
          <w:lang w:val="en-US" w:eastAsia="zh-CN"/>
        </w:rPr>
        <w:t xml:space="preserve">            上海滔普实验室设备有限公司</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cs="宋体"/>
          <w:sz w:val="28"/>
          <w:szCs w:val="28"/>
        </w:rPr>
      </w:pPr>
    </w:p>
    <w:p>
      <w:pPr>
        <w:spacing w:line="360" w:lineRule="auto"/>
        <w:ind w:firstLine="2520" w:firstLineChars="900"/>
        <w:rPr>
          <w:rFonts w:hint="eastAsia" w:ascii="宋体" w:hAnsi="宋体" w:cs="宋体"/>
          <w:sz w:val="28"/>
          <w:szCs w:val="28"/>
        </w:rPr>
      </w:pPr>
      <w:r>
        <w:rPr>
          <w:rFonts w:hint="eastAsia" w:ascii="宋体" w:hAnsi="宋体" w:cs="宋体"/>
          <w:sz w:val="28"/>
          <w:szCs w:val="28"/>
        </w:rPr>
        <w:t>完成时间：</w:t>
      </w:r>
      <w:r>
        <w:rPr>
          <w:rFonts w:ascii="宋体" w:hAnsi="宋体" w:cs="宋体"/>
          <w:sz w:val="28"/>
          <w:szCs w:val="28"/>
        </w:rPr>
        <w:t>202</w:t>
      </w:r>
      <w:r>
        <w:rPr>
          <w:rFonts w:hint="eastAsia" w:ascii="宋体" w:hAnsi="宋体" w:cs="宋体"/>
          <w:sz w:val="28"/>
          <w:szCs w:val="28"/>
          <w:lang w:val="en-US" w:eastAsia="zh-CN"/>
        </w:rPr>
        <w:t>2</w:t>
      </w:r>
      <w:r>
        <w:rPr>
          <w:rFonts w:hint="eastAsia" w:ascii="宋体" w:hAnsi="宋体" w:cs="宋体"/>
          <w:sz w:val="28"/>
          <w:szCs w:val="28"/>
        </w:rPr>
        <w:t>年</w:t>
      </w:r>
      <w:r>
        <w:rPr>
          <w:rFonts w:hint="eastAsia" w:ascii="宋体" w:hAnsi="宋体" w:cs="宋体"/>
          <w:sz w:val="28"/>
          <w:szCs w:val="28"/>
          <w:lang w:val="en-US" w:eastAsia="zh-CN"/>
        </w:rPr>
        <w:t>1</w:t>
      </w:r>
      <w:r>
        <w:rPr>
          <w:rFonts w:hint="eastAsia" w:ascii="宋体" w:hAnsi="宋体" w:cs="宋体"/>
          <w:sz w:val="28"/>
          <w:szCs w:val="28"/>
        </w:rPr>
        <w:t>月</w:t>
      </w:r>
      <w:r>
        <w:rPr>
          <w:rFonts w:hint="eastAsia" w:ascii="宋体" w:hAnsi="宋体" w:cs="宋体"/>
          <w:sz w:val="28"/>
          <w:szCs w:val="28"/>
          <w:lang w:val="en-US" w:eastAsia="zh-CN"/>
        </w:rPr>
        <w:t>20</w:t>
      </w:r>
      <w:r>
        <w:rPr>
          <w:rFonts w:hint="eastAsia" w:ascii="宋体" w:hAnsi="宋体" w:cs="宋体"/>
          <w:sz w:val="28"/>
          <w:szCs w:val="28"/>
        </w:rPr>
        <w:t>月</w:t>
      </w:r>
    </w:p>
    <w:p>
      <w:pPr>
        <w:spacing w:line="360" w:lineRule="auto"/>
        <w:ind w:firstLine="2520" w:firstLineChars="900"/>
        <w:rPr>
          <w:rFonts w:hint="eastAsia" w:ascii="宋体" w:hAnsi="宋体" w:cs="宋体"/>
          <w:sz w:val="28"/>
          <w:szCs w:val="28"/>
        </w:rPr>
      </w:pPr>
    </w:p>
    <w:p>
      <w:pPr>
        <w:spacing w:line="360" w:lineRule="auto"/>
        <w:jc w:val="both"/>
        <w:rPr>
          <w:rFonts w:hint="eastAsia" w:ascii="黑体" w:hAnsi="黑体" w:eastAsia="黑体" w:cs="黑体"/>
          <w:sz w:val="28"/>
          <w:szCs w:val="28"/>
        </w:rPr>
      </w:pPr>
    </w:p>
    <w:p>
      <w:pPr>
        <w:pStyle w:val="8"/>
        <w:keepNext w:val="0"/>
        <w:keepLines w:val="0"/>
        <w:pageBreakBefore w:val="0"/>
        <w:numPr>
          <w:ilvl w:val="0"/>
          <w:numId w:val="1"/>
        </w:numPr>
        <w:kinsoku/>
        <w:wordWrap/>
        <w:overflowPunct/>
        <w:topLinePunct w:val="0"/>
        <w:bidi w:val="0"/>
        <w:adjustRightInd/>
        <w:snapToGrid/>
        <w:spacing w:line="360" w:lineRule="auto"/>
        <w:ind w:firstLine="0" w:firstLineChars="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eastAsia="zh-CN"/>
        </w:rPr>
        <w:t>任务来源</w:t>
      </w:r>
    </w:p>
    <w:p>
      <w:pPr>
        <w:pStyle w:val="8"/>
        <w:spacing w:line="360" w:lineRule="auto"/>
        <w:rPr>
          <w:rFonts w:hint="eastAsia" w:ascii="宋体" w:hAnsi="宋体" w:eastAsia="宋体" w:cs="宋体"/>
          <w:color w:val="auto"/>
          <w:sz w:val="21"/>
          <w:szCs w:val="21"/>
          <w:lang w:val="en-US" w:eastAsia="zh-Hans"/>
        </w:rPr>
      </w:pPr>
      <w:r>
        <w:rPr>
          <w:rFonts w:hint="eastAsia" w:ascii="宋体" w:hAnsi="宋体" w:eastAsia="宋体" w:cs="宋体"/>
          <w:sz w:val="21"/>
          <w:szCs w:val="21"/>
        </w:rPr>
        <w:t xml:space="preserve">本标准来源于上海实验室装备协会，标准编号为T/SLEA </w:t>
      </w:r>
      <w:r>
        <w:rPr>
          <w:rFonts w:hint="eastAsia" w:ascii="宋体" w:hAnsi="宋体" w:eastAsia="宋体" w:cs="宋体"/>
          <w:sz w:val="21"/>
          <w:szCs w:val="21"/>
          <w:lang w:val="en-US" w:eastAsia="zh-CN"/>
        </w:rPr>
        <w:t>0041.</w:t>
      </w:r>
      <w:r>
        <w:rPr>
          <w:rFonts w:hint="eastAsia" w:ascii="宋体" w:hAnsi="宋体" w:eastAsia="宋体" w:cs="宋体"/>
          <w:sz w:val="21"/>
          <w:szCs w:val="21"/>
          <w:lang w:eastAsia="zh-CN"/>
        </w:rPr>
        <w:t>4</w:t>
      </w:r>
      <w:r>
        <w:rPr>
          <w:rFonts w:hint="eastAsia" w:ascii="宋体" w:hAnsi="宋体" w:eastAsia="宋体" w:cs="宋体"/>
          <w:sz w:val="21"/>
          <w:szCs w:val="21"/>
        </w:rPr>
        <w:t>-202</w:t>
      </w:r>
      <w:r>
        <w:rPr>
          <w:rFonts w:hint="eastAsia" w:hAnsi="宋体" w:cs="宋体"/>
          <w:sz w:val="21"/>
          <w:szCs w:val="21"/>
          <w:lang w:val="en-US" w:eastAsia="zh-CN"/>
        </w:rPr>
        <w:t>2</w:t>
      </w:r>
      <w:r>
        <w:rPr>
          <w:rFonts w:hint="eastAsia" w:ascii="宋体" w:hAnsi="宋体" w:eastAsia="宋体" w:cs="宋体"/>
          <w:sz w:val="21"/>
          <w:szCs w:val="21"/>
        </w:rPr>
        <w:t>。</w:t>
      </w:r>
      <w:r>
        <w:rPr>
          <w:rFonts w:hint="eastAsia" w:ascii="宋体" w:hAnsi="宋体" w:eastAsia="宋体" w:cs="宋体"/>
          <w:sz w:val="21"/>
          <w:szCs w:val="21"/>
        </w:rPr>
        <w:t>本标准由上海实验室装备</w:t>
      </w:r>
      <w:r>
        <w:rPr>
          <w:rFonts w:hint="eastAsia" w:hAnsi="宋体" w:cs="宋体"/>
          <w:sz w:val="21"/>
          <w:szCs w:val="21"/>
          <w:lang w:eastAsia="zh-CN"/>
        </w:rPr>
        <w:t>协会</w:t>
      </w:r>
      <w:r>
        <w:rPr>
          <w:rFonts w:hint="eastAsia" w:ascii="宋体" w:hAnsi="宋体" w:eastAsia="宋体" w:cs="宋体"/>
          <w:sz w:val="21"/>
          <w:szCs w:val="21"/>
        </w:rPr>
        <w:t>提出</w:t>
      </w:r>
      <w:r>
        <w:rPr>
          <w:rFonts w:hint="eastAsia" w:hAnsi="宋体" w:cs="宋体"/>
          <w:sz w:val="21"/>
          <w:szCs w:val="21"/>
          <w:lang w:eastAsia="zh-CN"/>
        </w:rPr>
        <w:t>并归口</w:t>
      </w:r>
      <w:r>
        <w:rPr>
          <w:rFonts w:hint="eastAsia" w:ascii="宋体" w:hAnsi="宋体" w:eastAsia="宋体" w:cs="宋体"/>
          <w:sz w:val="21"/>
          <w:szCs w:val="21"/>
        </w:rPr>
        <w:t>，由上海北友实验设备有限公司</w:t>
      </w:r>
      <w:r>
        <w:rPr>
          <w:rFonts w:hint="eastAsia" w:ascii="宋体" w:hAnsi="宋体" w:eastAsia="宋体" w:cs="宋体"/>
          <w:sz w:val="21"/>
          <w:szCs w:val="21"/>
          <w:lang w:eastAsia="zh-CN"/>
        </w:rPr>
        <w:t>、</w:t>
      </w:r>
      <w:r>
        <w:rPr>
          <w:rFonts w:hint="eastAsia" w:ascii="宋体" w:hAnsi="宋体" w:eastAsia="宋体" w:cs="宋体"/>
          <w:sz w:val="21"/>
          <w:szCs w:val="21"/>
        </w:rPr>
        <w:t>哈弥顿实验室设备（上海）有限公司</w:t>
      </w:r>
      <w:r>
        <w:rPr>
          <w:rFonts w:hint="eastAsia" w:ascii="宋体" w:hAnsi="宋体" w:eastAsia="宋体" w:cs="宋体"/>
          <w:sz w:val="21"/>
          <w:szCs w:val="21"/>
          <w:lang w:eastAsia="zh-CN"/>
        </w:rPr>
        <w:t>、</w:t>
      </w:r>
      <w:r>
        <w:rPr>
          <w:rFonts w:hint="eastAsia" w:ascii="宋体" w:hAnsi="宋体" w:eastAsia="宋体" w:cs="宋体"/>
          <w:sz w:val="21"/>
          <w:szCs w:val="21"/>
        </w:rPr>
        <w:t>上海台雄</w:t>
      </w:r>
      <w:r>
        <w:rPr>
          <w:rFonts w:hint="eastAsia" w:ascii="宋体" w:hAnsi="宋体" w:eastAsia="宋体" w:cs="宋体"/>
          <w:sz w:val="21"/>
          <w:szCs w:val="21"/>
          <w:lang w:val="en-US" w:eastAsia="zh-CN"/>
        </w:rPr>
        <w:t>科技发展集团</w:t>
      </w:r>
      <w:r>
        <w:rPr>
          <w:rFonts w:hint="eastAsia" w:ascii="宋体" w:hAnsi="宋体" w:eastAsia="宋体" w:cs="宋体"/>
          <w:sz w:val="21"/>
          <w:szCs w:val="21"/>
        </w:rPr>
        <w:t>有限公司、上海西斯贝尔工业科技有限公司、河北润旺达洁具制造有限公司</w:t>
      </w:r>
      <w:r>
        <w:rPr>
          <w:rFonts w:hint="eastAsia" w:ascii="宋体" w:hAnsi="宋体" w:eastAsia="宋体" w:cs="宋体"/>
          <w:sz w:val="21"/>
          <w:szCs w:val="21"/>
          <w:lang w:eastAsia="zh-CN"/>
        </w:rPr>
        <w:t>、</w:t>
      </w:r>
      <w:r>
        <w:rPr>
          <w:rFonts w:hint="eastAsia" w:ascii="宋体" w:hAnsi="宋体" w:eastAsia="宋体" w:cs="宋体"/>
          <w:sz w:val="21"/>
          <w:szCs w:val="21"/>
        </w:rPr>
        <w:t>浙江科恩实验设备有限公司、</w:t>
      </w:r>
      <w:r>
        <w:rPr>
          <w:rFonts w:hint="eastAsia" w:ascii="宋体" w:hAnsi="宋体" w:eastAsia="宋体" w:cs="宋体"/>
          <w:sz w:val="21"/>
          <w:szCs w:val="21"/>
          <w:lang w:val="en-US" w:eastAsia="zh-CN"/>
        </w:rPr>
        <w:t>上海滔普实验室设备有限公司</w:t>
      </w:r>
      <w:r>
        <w:rPr>
          <w:rFonts w:hint="eastAsia" w:ascii="宋体" w:hAnsi="宋体" w:eastAsia="宋体" w:cs="宋体"/>
          <w:sz w:val="21"/>
          <w:szCs w:val="21"/>
        </w:rPr>
        <w:t>负责组成编制组进行起草</w:t>
      </w:r>
      <w:r>
        <w:rPr>
          <w:rFonts w:hint="eastAsia" w:hAnsi="宋体" w:cs="宋体"/>
          <w:sz w:val="21"/>
          <w:szCs w:val="21"/>
          <w:lang w:eastAsia="zh-CN"/>
        </w:rPr>
        <w:t>。</w:t>
      </w:r>
      <w:r>
        <w:rPr>
          <w:rFonts w:hint="eastAsia" w:ascii="宋体" w:hAnsi="宋体" w:eastAsia="宋体" w:cs="宋体"/>
          <w:color w:val="auto"/>
          <w:sz w:val="21"/>
          <w:szCs w:val="21"/>
          <w:lang w:eastAsia="zh-CN"/>
        </w:rPr>
        <w:t>本标准由</w:t>
      </w:r>
      <w:r>
        <w:rPr>
          <w:rFonts w:hint="eastAsia" w:ascii="宋体" w:hAnsi="宋体" w:eastAsia="宋体" w:cs="宋体"/>
          <w:color w:val="auto"/>
          <w:sz w:val="21"/>
          <w:szCs w:val="21"/>
          <w:lang w:val="en-US" w:eastAsia="zh-CN"/>
        </w:rPr>
        <w:t>2021年7月份立项，标准编制至标准</w:t>
      </w:r>
      <w:r>
        <w:rPr>
          <w:rFonts w:hint="eastAsia" w:hAnsi="宋体" w:cs="宋体"/>
          <w:color w:val="auto"/>
          <w:sz w:val="21"/>
          <w:szCs w:val="21"/>
          <w:lang w:val="en-US" w:eastAsia="zh-CN"/>
        </w:rPr>
        <w:t>发布</w:t>
      </w:r>
      <w:r>
        <w:rPr>
          <w:rFonts w:hint="eastAsia" w:ascii="宋体" w:hAnsi="宋体" w:eastAsia="宋体" w:cs="宋体"/>
          <w:color w:val="auto"/>
          <w:sz w:val="21"/>
          <w:szCs w:val="21"/>
        </w:rPr>
        <w:t>时间为2021年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月。</w:t>
      </w:r>
    </w:p>
    <w:p>
      <w:pPr>
        <w:pStyle w:val="8"/>
        <w:keepNext w:val="0"/>
        <w:keepLines w:val="0"/>
        <w:pageBreakBefore w:val="0"/>
        <w:numPr>
          <w:ilvl w:val="0"/>
          <w:numId w:val="1"/>
        </w:numPr>
        <w:kinsoku/>
        <w:wordWrap/>
        <w:overflowPunct/>
        <w:topLinePunct w:val="0"/>
        <w:bidi w:val="0"/>
        <w:adjustRightInd/>
        <w:snapToGrid/>
        <w:spacing w:line="360" w:lineRule="auto"/>
        <w:ind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工作简况</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工作内容一般可分为成立编制组、确立编制原则、开展调研分析以及征求意见稿阶段、送审稿阶段、报批稿阶段等。</w:t>
      </w:r>
    </w:p>
    <w:p>
      <w:pPr>
        <w:pStyle w:val="8"/>
        <w:keepNext w:val="0"/>
        <w:keepLines w:val="0"/>
        <w:pageBreakBefore w:val="0"/>
        <w:kinsoku/>
        <w:wordWrap/>
        <w:overflowPunct/>
        <w:topLinePunct w:val="0"/>
        <w:bidi w:val="0"/>
        <w:adjustRightInd/>
        <w:snapToGrid/>
        <w:spacing w:line="360" w:lineRule="auto"/>
        <w:ind w:firstLine="210" w:firstLineChars="100"/>
        <w:textAlignment w:val="auto"/>
        <w:rPr>
          <w:rFonts w:hint="eastAsia" w:ascii="宋体" w:hAnsi="宋体" w:eastAsia="宋体" w:cs="宋体"/>
          <w:sz w:val="21"/>
          <w:szCs w:val="21"/>
        </w:rPr>
      </w:pPr>
      <w:r>
        <w:rPr>
          <w:rFonts w:hint="eastAsia" w:ascii="宋体" w:hAnsi="宋体" w:eastAsia="宋体" w:cs="宋体"/>
          <w:sz w:val="21"/>
          <w:szCs w:val="21"/>
        </w:rPr>
        <w:t>（1）成立编制组</w:t>
      </w:r>
    </w:p>
    <w:p>
      <w:pPr>
        <w:pStyle w:val="8"/>
        <w:spacing w:line="360" w:lineRule="auto"/>
        <w:ind w:firstLine="315" w:firstLineChars="150"/>
        <w:rPr>
          <w:rFonts w:hint="eastAsia" w:ascii="宋体" w:hAnsi="宋体" w:eastAsia="宋体" w:cs="宋体"/>
          <w:sz w:val="21"/>
          <w:szCs w:val="21"/>
        </w:rPr>
      </w:pPr>
      <w:r>
        <w:rPr>
          <w:rFonts w:hint="eastAsia" w:ascii="宋体" w:hAnsi="宋体" w:eastAsia="宋体" w:cs="宋体"/>
          <w:sz w:val="21"/>
          <w:szCs w:val="21"/>
        </w:rPr>
        <w:t>编制任务下达后，上海北友实验设备有限公司</w:t>
      </w:r>
      <w:r>
        <w:rPr>
          <w:rFonts w:hint="eastAsia" w:ascii="宋体" w:hAnsi="宋体" w:eastAsia="宋体" w:cs="宋体"/>
          <w:sz w:val="21"/>
          <w:szCs w:val="21"/>
          <w:lang w:eastAsia="zh-CN"/>
        </w:rPr>
        <w:t>、</w:t>
      </w:r>
      <w:r>
        <w:rPr>
          <w:rFonts w:hint="eastAsia" w:ascii="宋体" w:hAnsi="宋体" w:eastAsia="宋体" w:cs="宋体"/>
          <w:sz w:val="21"/>
          <w:szCs w:val="21"/>
        </w:rPr>
        <w:t>哈弥顿实验室设备（上海）有限公司</w:t>
      </w:r>
      <w:r>
        <w:rPr>
          <w:rFonts w:hint="eastAsia" w:ascii="宋体" w:hAnsi="宋体" w:eastAsia="宋体" w:cs="宋体"/>
          <w:sz w:val="21"/>
          <w:szCs w:val="21"/>
          <w:lang w:eastAsia="zh-CN"/>
        </w:rPr>
        <w:t>、</w:t>
      </w:r>
      <w:r>
        <w:rPr>
          <w:rFonts w:hint="eastAsia" w:ascii="宋体" w:hAnsi="宋体" w:eastAsia="宋体" w:cs="宋体"/>
          <w:sz w:val="21"/>
          <w:szCs w:val="21"/>
        </w:rPr>
        <w:t>上海台雄</w:t>
      </w:r>
      <w:r>
        <w:rPr>
          <w:rFonts w:hint="eastAsia" w:ascii="宋体" w:hAnsi="宋体" w:eastAsia="宋体" w:cs="宋体"/>
          <w:sz w:val="21"/>
          <w:szCs w:val="21"/>
          <w:lang w:val="en-US" w:eastAsia="zh-CN"/>
        </w:rPr>
        <w:t>科技发展集团</w:t>
      </w:r>
      <w:r>
        <w:rPr>
          <w:rFonts w:hint="eastAsia" w:ascii="宋体" w:hAnsi="宋体" w:eastAsia="宋体" w:cs="宋体"/>
          <w:sz w:val="21"/>
          <w:szCs w:val="21"/>
        </w:rPr>
        <w:t>有限公司、上海西斯贝尔工业科技有限公司、河北润旺达洁具制造有限公司</w:t>
      </w:r>
      <w:r>
        <w:rPr>
          <w:rFonts w:hint="eastAsia" w:ascii="宋体" w:hAnsi="宋体" w:eastAsia="宋体" w:cs="宋体"/>
          <w:sz w:val="21"/>
          <w:szCs w:val="21"/>
          <w:lang w:eastAsia="zh-CN"/>
        </w:rPr>
        <w:t>、</w:t>
      </w:r>
      <w:r>
        <w:rPr>
          <w:rFonts w:hint="eastAsia" w:ascii="宋体" w:hAnsi="宋体" w:eastAsia="宋体" w:cs="宋体"/>
          <w:sz w:val="21"/>
          <w:szCs w:val="21"/>
        </w:rPr>
        <w:t>浙江科恩实验设备有限公司、</w:t>
      </w:r>
      <w:r>
        <w:rPr>
          <w:rFonts w:hint="eastAsia" w:ascii="宋体" w:hAnsi="宋体" w:eastAsia="宋体" w:cs="宋体"/>
          <w:sz w:val="21"/>
          <w:szCs w:val="21"/>
          <w:lang w:val="en-US" w:eastAsia="zh-CN"/>
        </w:rPr>
        <w:t>上海滔普实验室设备有限公司</w:t>
      </w:r>
      <w:r>
        <w:rPr>
          <w:rFonts w:hint="eastAsia" w:ascii="宋体" w:hAnsi="宋体" w:eastAsia="宋体" w:cs="宋体"/>
          <w:sz w:val="21"/>
          <w:szCs w:val="21"/>
          <w:lang w:eastAsia="zh-CN"/>
        </w:rPr>
        <w:t>七</w:t>
      </w:r>
      <w:r>
        <w:rPr>
          <w:rFonts w:hint="eastAsia" w:ascii="宋体" w:hAnsi="宋体" w:eastAsia="宋体" w:cs="宋体"/>
          <w:sz w:val="21"/>
          <w:szCs w:val="21"/>
        </w:rPr>
        <w:t>家单位共同成立了编制组。编制组成员人员组成和分工见表1。</w:t>
      </w:r>
    </w:p>
    <w:p>
      <w:pPr>
        <w:pStyle w:val="8"/>
        <w:spacing w:line="360" w:lineRule="auto"/>
        <w:ind w:firstLine="315" w:firstLineChars="150"/>
        <w:jc w:val="center"/>
        <w:rPr>
          <w:rFonts w:hint="default" w:ascii="宋体" w:hAnsi="宋体" w:eastAsia="宋体" w:cs="宋体"/>
          <w:sz w:val="21"/>
          <w:szCs w:val="21"/>
          <w:lang w:val="en-US" w:eastAsia="zh-CN"/>
        </w:rPr>
      </w:pPr>
      <w:r>
        <w:rPr>
          <w:rFonts w:hint="eastAsia" w:ascii="宋体" w:hAnsi="宋体" w:eastAsia="宋体" w:cs="宋体"/>
          <w:sz w:val="21"/>
          <w:szCs w:val="21"/>
          <w:lang w:eastAsia="zh-CN"/>
        </w:rPr>
        <w:t>表</w:t>
      </w:r>
      <w:r>
        <w:rPr>
          <w:rFonts w:hint="eastAsia" w:ascii="宋体" w:hAnsi="宋体" w:eastAsia="宋体" w:cs="宋体"/>
          <w:sz w:val="21"/>
          <w:szCs w:val="21"/>
          <w:lang w:val="en-US" w:eastAsia="zh-CN"/>
        </w:rPr>
        <w:t>1</w:t>
      </w:r>
      <w:r>
        <w:rPr>
          <w:rFonts w:hint="eastAsia" w:hAnsi="宋体" w:cs="宋体"/>
          <w:sz w:val="21"/>
          <w:szCs w:val="21"/>
          <w:lang w:val="en-US" w:eastAsia="zh-CN"/>
        </w:rPr>
        <w:t xml:space="preserve"> 编制组成员及分工</w:t>
      </w:r>
    </w:p>
    <w:tbl>
      <w:tblPr>
        <w:tblStyle w:val="5"/>
        <w:tblW w:w="877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61"/>
        <w:gridCol w:w="812"/>
        <w:gridCol w:w="3163"/>
        <w:gridCol w:w="1325"/>
        <w:gridCol w:w="281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序号</w:t>
            </w:r>
          </w:p>
        </w:tc>
        <w:tc>
          <w:tcPr>
            <w:tcW w:w="812"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姓名</w:t>
            </w:r>
          </w:p>
        </w:tc>
        <w:tc>
          <w:tcPr>
            <w:tcW w:w="3163" w:type="dxa"/>
            <w:vAlign w:val="center"/>
          </w:tcPr>
          <w:p>
            <w:pPr>
              <w:pStyle w:val="8"/>
              <w:spacing w:line="360" w:lineRule="auto"/>
              <w:ind w:firstLine="540" w:firstLineChars="300"/>
              <w:jc w:val="center"/>
              <w:rPr>
                <w:rFonts w:hint="eastAsia" w:ascii="宋体" w:hAnsi="宋体" w:eastAsia="宋体" w:cs="宋体"/>
                <w:sz w:val="18"/>
                <w:szCs w:val="18"/>
              </w:rPr>
            </w:pPr>
            <w:r>
              <w:rPr>
                <w:rFonts w:hint="eastAsia" w:ascii="宋体" w:hAnsi="宋体" w:eastAsia="宋体" w:cs="宋体"/>
                <w:sz w:val="18"/>
                <w:szCs w:val="18"/>
              </w:rPr>
              <w:t>单位</w:t>
            </w:r>
          </w:p>
        </w:tc>
        <w:tc>
          <w:tcPr>
            <w:tcW w:w="1325" w:type="dxa"/>
            <w:vAlign w:val="center"/>
          </w:tcPr>
          <w:p>
            <w:pPr>
              <w:pStyle w:val="8"/>
              <w:spacing w:line="360" w:lineRule="auto"/>
              <w:ind w:firstLine="90" w:firstLineChars="50"/>
              <w:jc w:val="center"/>
              <w:rPr>
                <w:rFonts w:hint="eastAsia" w:ascii="宋体" w:hAnsi="宋体" w:eastAsia="宋体" w:cs="宋体"/>
                <w:sz w:val="18"/>
                <w:szCs w:val="18"/>
              </w:rPr>
            </w:pPr>
            <w:r>
              <w:rPr>
                <w:rFonts w:hint="eastAsia" w:ascii="宋体" w:hAnsi="宋体" w:eastAsia="宋体" w:cs="宋体"/>
                <w:sz w:val="18"/>
                <w:szCs w:val="18"/>
              </w:rPr>
              <w:t>职务/职称</w:t>
            </w:r>
          </w:p>
        </w:tc>
        <w:tc>
          <w:tcPr>
            <w:tcW w:w="2812" w:type="dxa"/>
            <w:vAlign w:val="center"/>
          </w:tcPr>
          <w:p>
            <w:pPr>
              <w:pStyle w:val="8"/>
              <w:spacing w:line="360" w:lineRule="auto"/>
              <w:ind w:firstLine="270" w:firstLineChars="150"/>
              <w:jc w:val="center"/>
              <w:rPr>
                <w:rFonts w:hint="eastAsia" w:ascii="宋体" w:hAnsi="宋体" w:eastAsia="宋体" w:cs="宋体"/>
                <w:sz w:val="18"/>
                <w:szCs w:val="18"/>
              </w:rPr>
            </w:pPr>
            <w:r>
              <w:rPr>
                <w:rFonts w:hint="eastAsia" w:ascii="宋体" w:hAnsi="宋体" w:eastAsia="宋体" w:cs="宋体"/>
                <w:sz w:val="18"/>
                <w:szCs w:val="18"/>
              </w:rPr>
              <w:t>任务分工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1</w:t>
            </w:r>
          </w:p>
        </w:tc>
        <w:tc>
          <w:tcPr>
            <w:tcW w:w="812"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毛毓麟</w:t>
            </w:r>
          </w:p>
        </w:tc>
        <w:tc>
          <w:tcPr>
            <w:tcW w:w="3163" w:type="dxa"/>
            <w:vAlign w:val="center"/>
          </w:tcPr>
          <w:p>
            <w:pPr>
              <w:pStyle w:val="8"/>
              <w:spacing w:line="360" w:lineRule="auto"/>
              <w:ind w:firstLine="0" w:firstLineChars="0"/>
              <w:jc w:val="center"/>
              <w:rPr>
                <w:rFonts w:hint="eastAsia" w:ascii="宋体" w:hAnsi="宋体" w:eastAsia="宋体" w:cs="宋体"/>
                <w:sz w:val="18"/>
                <w:szCs w:val="18"/>
              </w:rPr>
            </w:pPr>
            <w:r>
              <w:rPr>
                <w:rFonts w:hint="eastAsia" w:ascii="宋体" w:hAnsi="宋体" w:eastAsia="宋体" w:cs="宋体"/>
                <w:sz w:val="18"/>
                <w:szCs w:val="18"/>
              </w:rPr>
              <w:t>上海北友实验设备有限公司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总经理</w:t>
            </w:r>
          </w:p>
        </w:tc>
        <w:tc>
          <w:tcPr>
            <w:tcW w:w="2812" w:type="dxa"/>
            <w:vAlign w:val="center"/>
          </w:tcPr>
          <w:p>
            <w:pPr>
              <w:pStyle w:val="8"/>
              <w:spacing w:line="360" w:lineRule="auto"/>
              <w:ind w:firstLine="0" w:firstLineChars="0"/>
              <w:jc w:val="both"/>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2</w:t>
            </w:r>
          </w:p>
        </w:tc>
        <w:tc>
          <w:tcPr>
            <w:tcW w:w="812"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张天雷</w:t>
            </w:r>
          </w:p>
        </w:tc>
        <w:tc>
          <w:tcPr>
            <w:tcW w:w="3163" w:type="dxa"/>
            <w:vAlign w:val="center"/>
          </w:tcPr>
          <w:p>
            <w:pPr>
              <w:pStyle w:val="8"/>
              <w:spacing w:line="360" w:lineRule="auto"/>
              <w:ind w:firstLine="0" w:firstLineChars="0"/>
              <w:jc w:val="center"/>
              <w:rPr>
                <w:rFonts w:hint="eastAsia" w:ascii="宋体" w:hAnsi="宋体" w:eastAsia="宋体" w:cs="宋体"/>
                <w:sz w:val="18"/>
                <w:szCs w:val="18"/>
              </w:rPr>
            </w:pPr>
            <w:r>
              <w:rPr>
                <w:rFonts w:hint="eastAsia" w:ascii="宋体" w:hAnsi="宋体" w:eastAsia="宋体" w:cs="宋体"/>
                <w:sz w:val="18"/>
                <w:szCs w:val="18"/>
              </w:rPr>
              <w:t>哈弥顿实验室设备（上海）有限公司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sz w:val="18"/>
                <w:szCs w:val="18"/>
                <w:lang w:eastAsia="zh-CN"/>
              </w:rPr>
            </w:pPr>
            <w:r>
              <w:rPr>
                <w:rFonts w:hint="eastAsia" w:hAnsi="宋体" w:cs="宋体"/>
                <w:sz w:val="18"/>
                <w:szCs w:val="18"/>
                <w:lang w:eastAsia="zh-CN"/>
              </w:rPr>
              <w:t>业务拓展总监</w:t>
            </w:r>
          </w:p>
        </w:tc>
        <w:tc>
          <w:tcPr>
            <w:tcW w:w="2812" w:type="dxa"/>
            <w:vAlign w:val="center"/>
          </w:tcPr>
          <w:p>
            <w:pPr>
              <w:pStyle w:val="8"/>
              <w:spacing w:line="360" w:lineRule="auto"/>
              <w:ind w:firstLine="0" w:firstLineChars="0"/>
              <w:jc w:val="both"/>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3</w:t>
            </w:r>
          </w:p>
        </w:tc>
        <w:tc>
          <w:tcPr>
            <w:tcW w:w="812"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王冰</w:t>
            </w:r>
          </w:p>
        </w:tc>
        <w:tc>
          <w:tcPr>
            <w:tcW w:w="3163" w:type="dxa"/>
            <w:vAlign w:val="center"/>
          </w:tcPr>
          <w:p>
            <w:pPr>
              <w:pStyle w:val="8"/>
              <w:spacing w:line="360" w:lineRule="auto"/>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上海台雄</w:t>
            </w:r>
            <w:r>
              <w:rPr>
                <w:rFonts w:hint="eastAsia" w:ascii="宋体" w:hAnsi="宋体" w:eastAsia="宋体" w:cs="宋体"/>
                <w:sz w:val="18"/>
                <w:szCs w:val="18"/>
                <w:lang w:val="en-US" w:eastAsia="zh-CN"/>
              </w:rPr>
              <w:t>科技发展集团</w:t>
            </w:r>
            <w:r>
              <w:rPr>
                <w:rFonts w:hint="eastAsia" w:ascii="宋体" w:hAnsi="宋体" w:eastAsia="宋体" w:cs="宋体"/>
                <w:sz w:val="18"/>
                <w:szCs w:val="18"/>
              </w:rPr>
              <w:t>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2812" w:type="dxa"/>
            <w:vAlign w:val="center"/>
          </w:tcPr>
          <w:p>
            <w:pPr>
              <w:pStyle w:val="8"/>
              <w:spacing w:line="36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rPr>
              <w:t>项目总体策划、标准内容审核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4</w:t>
            </w:r>
          </w:p>
        </w:tc>
        <w:tc>
          <w:tcPr>
            <w:tcW w:w="812"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张达</w:t>
            </w:r>
          </w:p>
        </w:tc>
        <w:tc>
          <w:tcPr>
            <w:tcW w:w="3163" w:type="dxa"/>
            <w:vAlign w:val="center"/>
          </w:tcPr>
          <w:p>
            <w:pPr>
              <w:pStyle w:val="8"/>
              <w:spacing w:line="360" w:lineRule="auto"/>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河北润旺达洁具制造有限公司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2812" w:type="dxa"/>
            <w:vAlign w:val="center"/>
          </w:tcPr>
          <w:p>
            <w:pPr>
              <w:pStyle w:val="8"/>
              <w:spacing w:line="36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color w:val="auto"/>
                <w:sz w:val="18"/>
                <w:szCs w:val="18"/>
              </w:rPr>
              <w:t>项目总体策划，</w:t>
            </w:r>
            <w:r>
              <w:rPr>
                <w:rFonts w:hint="eastAsia" w:hAnsi="宋体" w:cs="宋体"/>
                <w:color w:val="auto"/>
                <w:sz w:val="18"/>
                <w:szCs w:val="18"/>
                <w:lang w:eastAsia="zh-CN"/>
              </w:rPr>
              <w:t>标准预研学习，总结形成对标分析等相关文件，并编写</w:t>
            </w:r>
            <w:r>
              <w:rPr>
                <w:rFonts w:hint="eastAsia" w:ascii="宋体" w:hAnsi="宋体" w:eastAsia="宋体" w:cs="宋体"/>
                <w:color w:val="auto"/>
                <w:sz w:val="18"/>
                <w:szCs w:val="18"/>
              </w:rPr>
              <w:t>标准及编制说明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lang w:val="en-US" w:eastAsia="zh-CN"/>
              </w:rPr>
            </w:pPr>
            <w:r>
              <w:rPr>
                <w:rFonts w:hint="eastAsia" w:hAnsi="宋体" w:cs="宋体"/>
                <w:sz w:val="18"/>
                <w:szCs w:val="18"/>
                <w:lang w:val="en-US" w:eastAsia="zh-CN"/>
              </w:rPr>
              <w:t>5</w:t>
            </w:r>
          </w:p>
        </w:tc>
        <w:tc>
          <w:tcPr>
            <w:tcW w:w="812"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袁利军</w:t>
            </w:r>
          </w:p>
        </w:tc>
        <w:tc>
          <w:tcPr>
            <w:tcW w:w="3163" w:type="dxa"/>
            <w:vAlign w:val="center"/>
          </w:tcPr>
          <w:p>
            <w:pPr>
              <w:pStyle w:val="8"/>
              <w:spacing w:line="360" w:lineRule="auto"/>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浙江科恩实验设备有限公司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总经理</w:t>
            </w:r>
          </w:p>
        </w:tc>
        <w:tc>
          <w:tcPr>
            <w:tcW w:w="2812" w:type="dxa"/>
            <w:vAlign w:val="center"/>
          </w:tcPr>
          <w:p>
            <w:pPr>
              <w:pStyle w:val="8"/>
              <w:spacing w:line="36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hAnsi="宋体" w:cs="宋体"/>
                <w:sz w:val="18"/>
                <w:szCs w:val="18"/>
                <w:lang w:val="en-US" w:eastAsia="zh-CN"/>
              </w:rPr>
              <w:t>6</w:t>
            </w:r>
          </w:p>
        </w:tc>
        <w:tc>
          <w:tcPr>
            <w:tcW w:w="812"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张传进</w:t>
            </w:r>
          </w:p>
        </w:tc>
        <w:tc>
          <w:tcPr>
            <w:tcW w:w="3163" w:type="dxa"/>
            <w:vAlign w:val="center"/>
          </w:tcPr>
          <w:p>
            <w:pPr>
              <w:pStyle w:val="8"/>
              <w:spacing w:line="360" w:lineRule="auto"/>
              <w:ind w:firstLine="0" w:firstLineChars="0"/>
              <w:jc w:val="center"/>
              <w:rPr>
                <w:rFonts w:hint="eastAsia" w:ascii="宋体" w:hAnsi="宋体" w:eastAsia="宋体" w:cs="宋体"/>
                <w:kern w:val="2"/>
                <w:sz w:val="18"/>
                <w:szCs w:val="18"/>
                <w:lang w:val="en-US" w:eastAsia="zh-CN" w:bidi="ar-SA"/>
              </w:rPr>
            </w:pPr>
            <w:r>
              <w:rPr>
                <w:rFonts w:hint="eastAsia" w:ascii="宋体" w:hAnsi="宋体" w:eastAsia="宋体" w:cs="宋体"/>
                <w:sz w:val="18"/>
                <w:szCs w:val="18"/>
              </w:rPr>
              <w:t>上海西斯贝尔工业科技有限公司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kern w:val="2"/>
                <w:sz w:val="18"/>
                <w:szCs w:val="18"/>
                <w:lang w:val="en-US" w:eastAsia="zh-CN" w:bidi="ar-SA"/>
              </w:rPr>
            </w:pPr>
            <w:r>
              <w:rPr>
                <w:rFonts w:hint="eastAsia" w:hAnsi="宋体" w:cs="宋体"/>
                <w:sz w:val="18"/>
                <w:szCs w:val="18"/>
                <w:lang w:eastAsia="zh-CN"/>
              </w:rPr>
              <w:t>产品总监</w:t>
            </w:r>
          </w:p>
        </w:tc>
        <w:tc>
          <w:tcPr>
            <w:tcW w:w="2812" w:type="dxa"/>
            <w:vAlign w:val="center"/>
          </w:tcPr>
          <w:p>
            <w:pPr>
              <w:pStyle w:val="8"/>
              <w:spacing w:line="360" w:lineRule="auto"/>
              <w:ind w:firstLine="0" w:firstLineChars="0"/>
              <w:jc w:val="both"/>
              <w:rPr>
                <w:rFonts w:hint="eastAsia" w:ascii="宋体" w:hAnsi="宋体" w:eastAsia="宋体" w:cs="宋体"/>
                <w:kern w:val="2"/>
                <w:sz w:val="18"/>
                <w:szCs w:val="18"/>
                <w:lang w:val="en-US" w:eastAsia="zh-CN" w:bidi="ar-SA"/>
              </w:rPr>
            </w:pPr>
            <w:r>
              <w:rPr>
                <w:rFonts w:hint="eastAsia" w:ascii="宋体" w:hAnsi="宋体" w:eastAsia="宋体" w:cs="宋体"/>
                <w:sz w:val="18"/>
                <w:szCs w:val="18"/>
              </w:rPr>
              <w:t>标准内容审议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1" w:type="dxa"/>
            <w:vAlign w:val="center"/>
          </w:tcPr>
          <w:p>
            <w:pPr>
              <w:pStyle w:val="8"/>
              <w:spacing w:line="360" w:lineRule="auto"/>
              <w:ind w:left="0" w:leftChars="0" w:firstLine="0" w:firstLineChars="0"/>
              <w:jc w:val="center"/>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7</w:t>
            </w:r>
          </w:p>
        </w:tc>
        <w:tc>
          <w:tcPr>
            <w:tcW w:w="812" w:type="dxa"/>
            <w:vAlign w:val="center"/>
          </w:tcPr>
          <w:p>
            <w:pPr>
              <w:pStyle w:val="8"/>
              <w:spacing w:line="360" w:lineRule="auto"/>
              <w:ind w:left="0" w:leftChars="0" w:firstLine="0" w:firstLineChars="0"/>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刘杰</w:t>
            </w:r>
          </w:p>
        </w:tc>
        <w:tc>
          <w:tcPr>
            <w:tcW w:w="3163" w:type="dxa"/>
            <w:vAlign w:val="center"/>
          </w:tcPr>
          <w:p>
            <w:pPr>
              <w:pStyle w:val="8"/>
              <w:spacing w:line="360" w:lineRule="auto"/>
              <w:ind w:firstLine="0" w:firstLineChars="0"/>
              <w:jc w:val="center"/>
              <w:rPr>
                <w:rFonts w:hint="eastAsia" w:ascii="宋体" w:hAnsi="宋体" w:eastAsia="宋体" w:cs="宋体"/>
                <w:sz w:val="18"/>
                <w:szCs w:val="18"/>
              </w:rPr>
            </w:pPr>
            <w:r>
              <w:rPr>
                <w:rFonts w:hint="eastAsia" w:ascii="宋体" w:hAnsi="宋体" w:eastAsia="宋体" w:cs="宋体"/>
                <w:color w:val="auto"/>
                <w:kern w:val="2"/>
                <w:sz w:val="18"/>
                <w:szCs w:val="18"/>
                <w:lang w:val="en-US" w:eastAsia="zh-CN" w:bidi="ar-SA"/>
              </w:rPr>
              <w:t>上海滔普实验室设备有限公司</w:t>
            </w:r>
          </w:p>
        </w:tc>
        <w:tc>
          <w:tcPr>
            <w:tcW w:w="1325" w:type="dxa"/>
            <w:vAlign w:val="center"/>
          </w:tcPr>
          <w:p>
            <w:pPr>
              <w:pStyle w:val="8"/>
              <w:spacing w:line="360" w:lineRule="auto"/>
              <w:ind w:left="0" w:leftChars="0" w:firstLine="0" w:firstLineChars="0"/>
              <w:jc w:val="center"/>
              <w:rPr>
                <w:rFonts w:hint="eastAsia" w:ascii="宋体" w:hAnsi="宋体" w:eastAsia="宋体" w:cs="宋体"/>
                <w:sz w:val="18"/>
                <w:szCs w:val="18"/>
              </w:rPr>
            </w:pPr>
            <w:r>
              <w:rPr>
                <w:rFonts w:hint="eastAsia" w:ascii="宋体" w:hAnsi="宋体" w:eastAsia="宋体" w:cs="宋体"/>
                <w:sz w:val="18"/>
                <w:szCs w:val="18"/>
              </w:rPr>
              <w:t>总经理</w:t>
            </w:r>
          </w:p>
        </w:tc>
        <w:tc>
          <w:tcPr>
            <w:tcW w:w="2812" w:type="dxa"/>
            <w:vAlign w:val="center"/>
          </w:tcPr>
          <w:p>
            <w:pPr>
              <w:pStyle w:val="8"/>
              <w:spacing w:line="360" w:lineRule="auto"/>
              <w:ind w:firstLine="0" w:firstLineChars="0"/>
              <w:jc w:val="both"/>
              <w:rPr>
                <w:rFonts w:hint="eastAsia" w:ascii="宋体" w:hAnsi="宋体" w:eastAsia="宋体" w:cs="宋体"/>
                <w:sz w:val="18"/>
                <w:szCs w:val="18"/>
              </w:rPr>
            </w:pPr>
            <w:r>
              <w:rPr>
                <w:rFonts w:hint="eastAsia" w:ascii="宋体" w:hAnsi="宋体" w:eastAsia="宋体" w:cs="宋体"/>
                <w:sz w:val="18"/>
                <w:szCs w:val="18"/>
              </w:rPr>
              <w:t>标准框架指导、标准内容审核</w:t>
            </w:r>
          </w:p>
        </w:tc>
      </w:tr>
    </w:tbl>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rPr>
      </w:pPr>
      <w:r>
        <w:rPr>
          <w:rFonts w:hint="eastAsia" w:ascii="宋体" w:hAnsi="宋体" w:eastAsia="宋体" w:cs="宋体"/>
          <w:sz w:val="21"/>
          <w:szCs w:val="21"/>
          <w:lang w:eastAsia="zh-Hans"/>
        </w:rPr>
        <w:t xml:space="preserve">（2) </w:t>
      </w:r>
      <w:r>
        <w:rPr>
          <w:rFonts w:hint="eastAsia" w:ascii="宋体" w:hAnsi="宋体" w:eastAsia="宋体" w:cs="宋体"/>
          <w:sz w:val="21"/>
          <w:szCs w:val="21"/>
        </w:rPr>
        <w:t>确立编制原则</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本标准的编制主要遵循以下原则：</w:t>
      </w:r>
      <w:bookmarkStart w:id="2" w:name="_GoBack"/>
      <w:bookmarkEnd w:id="2"/>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ascii="宋体" w:hAnsi="宋体" w:eastAsia="宋体" w:cs="宋体"/>
          <w:sz w:val="21"/>
          <w:szCs w:val="21"/>
        </w:rPr>
        <w:t>标准的制定遵循了适用性、科学性和可操作性原则，标准工作组在实验、验证和生产实践的基础上制定标准指标，标准编写按照GB/T 1.1 等格式要求进行本标准的编写工作。</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hAnsi="宋体" w:cs="宋体"/>
          <w:sz w:val="21"/>
          <w:szCs w:val="21"/>
          <w:lang w:val="en-US" w:eastAsia="zh-CN"/>
        </w:rPr>
        <w:t>1、</w:t>
      </w:r>
      <w:r>
        <w:rPr>
          <w:rFonts w:hint="eastAsia" w:ascii="宋体" w:hAnsi="宋体" w:eastAsia="宋体" w:cs="宋体"/>
          <w:sz w:val="21"/>
          <w:szCs w:val="21"/>
        </w:rPr>
        <w:t>统一性原则：确保在专业领域内及相关领域之间术语的一致性和逻辑上的完整性。</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hAnsi="宋体" w:cs="宋体"/>
          <w:sz w:val="21"/>
          <w:szCs w:val="21"/>
          <w:lang w:val="en-US" w:eastAsia="zh-CN"/>
        </w:rPr>
        <w:t>2、</w:t>
      </w:r>
      <w:r>
        <w:rPr>
          <w:rFonts w:hint="eastAsia" w:ascii="宋体" w:hAnsi="宋体" w:eastAsia="宋体" w:cs="宋体"/>
          <w:sz w:val="21"/>
          <w:szCs w:val="21"/>
        </w:rPr>
        <w:t>简明性原则：信息交流过程中要求方法尽可能的简明，以提高效率。</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hAnsi="宋体" w:cs="宋体"/>
          <w:sz w:val="21"/>
          <w:szCs w:val="21"/>
          <w:lang w:val="en-US" w:eastAsia="zh-CN"/>
        </w:rPr>
        <w:t>3、</w:t>
      </w:r>
      <w:r>
        <w:rPr>
          <w:rFonts w:hint="eastAsia" w:ascii="宋体" w:hAnsi="宋体" w:eastAsia="宋体" w:cs="宋体"/>
          <w:sz w:val="21"/>
          <w:szCs w:val="21"/>
        </w:rPr>
        <w:t>准确性原则：方法的描述应能准确反映其解决问题的思路，同时又能借助区别特征同其它并列方法有效地区分开来。</w:t>
      </w:r>
    </w:p>
    <w:p>
      <w:pPr>
        <w:pStyle w:val="8"/>
        <w:keepNext w:val="0"/>
        <w:keepLines w:val="0"/>
        <w:pageBreakBefore w:val="0"/>
        <w:kinsoku/>
        <w:wordWrap/>
        <w:overflowPunct/>
        <w:topLinePunct w:val="0"/>
        <w:bidi w:val="0"/>
        <w:adjustRightInd/>
        <w:snapToGrid/>
        <w:spacing w:line="360" w:lineRule="auto"/>
        <w:ind w:firstLine="315" w:firstLineChars="150"/>
        <w:textAlignment w:val="auto"/>
        <w:rPr>
          <w:rFonts w:hint="eastAsia" w:ascii="宋体" w:hAnsi="宋体" w:eastAsia="宋体" w:cs="宋体"/>
          <w:sz w:val="21"/>
          <w:szCs w:val="21"/>
        </w:rPr>
      </w:pPr>
      <w:r>
        <w:rPr>
          <w:rFonts w:hint="eastAsia" w:hAnsi="宋体" w:cs="宋体"/>
          <w:sz w:val="21"/>
          <w:szCs w:val="21"/>
          <w:lang w:val="en-US" w:eastAsia="zh-CN"/>
        </w:rPr>
        <w:t>4、</w:t>
      </w:r>
      <w:r>
        <w:rPr>
          <w:rFonts w:hint="eastAsia" w:ascii="宋体" w:hAnsi="宋体" w:eastAsia="宋体" w:cs="宋体"/>
          <w:sz w:val="21"/>
          <w:szCs w:val="21"/>
        </w:rPr>
        <w:t>稳定性原则：对于使用频率较高、范围较广，已经约定俗成的术语，没有重要原因，即使有不理想之处，也不宜轻易变更。</w:t>
      </w:r>
    </w:p>
    <w:p>
      <w:pPr>
        <w:pStyle w:val="8"/>
        <w:keepNext w:val="0"/>
        <w:keepLines w:val="0"/>
        <w:pageBreakBefore w:val="0"/>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（3）开展调研分析</w:t>
      </w:r>
    </w:p>
    <w:p>
      <w:pPr>
        <w:pStyle w:val="8"/>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编制组开始收集国内外相关资料，针对我国现有的实验室</w:t>
      </w:r>
      <w:r>
        <w:rPr>
          <w:rFonts w:hint="eastAsia" w:ascii="宋体" w:hAnsi="宋体" w:eastAsia="宋体" w:cs="宋体"/>
          <w:sz w:val="21"/>
          <w:szCs w:val="21"/>
          <w:lang w:val="en-US" w:eastAsia="zh-Hans"/>
        </w:rPr>
        <w:t>气阀</w:t>
      </w:r>
      <w:r>
        <w:rPr>
          <w:rFonts w:hint="eastAsia" w:ascii="宋体" w:hAnsi="宋体" w:eastAsia="宋体" w:cs="宋体"/>
          <w:sz w:val="21"/>
          <w:szCs w:val="21"/>
        </w:rPr>
        <w:t>生产制造水平的现状和问题以及客户的实际使用需求，同时查询了</w:t>
      </w:r>
      <w:r>
        <w:rPr>
          <w:rFonts w:hint="eastAsia" w:ascii="宋体" w:hAnsi="宋体" w:eastAsia="宋体" w:cs="宋体"/>
          <w:sz w:val="21"/>
          <w:szCs w:val="21"/>
          <w:lang w:val="en-US" w:eastAsia="zh-CN"/>
        </w:rPr>
        <w:t>GB/T 13927-2008 《工业阀门 压力试验》</w:t>
      </w:r>
      <w:r>
        <w:rPr>
          <w:rFonts w:hint="eastAsia" w:ascii="宋体" w:hAnsi="宋体" w:eastAsia="宋体" w:cs="宋体"/>
          <w:sz w:val="21"/>
          <w:szCs w:val="21"/>
          <w:lang w:val="en-US" w:eastAsia="zh-Hans"/>
        </w:rPr>
        <w:t>国家</w:t>
      </w:r>
      <w:r>
        <w:rPr>
          <w:rFonts w:hint="eastAsia" w:ascii="宋体" w:hAnsi="宋体" w:eastAsia="宋体" w:cs="宋体"/>
          <w:sz w:val="21"/>
          <w:szCs w:val="21"/>
        </w:rPr>
        <w:t>标准，GB/T 19672―2021</w:t>
      </w:r>
      <w:r>
        <w:rPr>
          <w:rFonts w:hint="eastAsia" w:ascii="宋体" w:hAnsi="宋体" w:eastAsia="宋体" w:cs="宋体"/>
          <w:sz w:val="21"/>
          <w:szCs w:val="21"/>
          <w:lang w:val="en-US" w:eastAsia="zh-CN"/>
        </w:rPr>
        <w:t>《</w:t>
      </w:r>
      <w:r>
        <w:rPr>
          <w:rFonts w:hint="eastAsia" w:ascii="宋体" w:hAnsi="宋体" w:eastAsia="宋体" w:cs="宋体"/>
          <w:sz w:val="21"/>
          <w:szCs w:val="21"/>
        </w:rPr>
        <w:t>管线阀门 技术条件</w:t>
      </w:r>
      <w:r>
        <w:rPr>
          <w:rFonts w:hint="eastAsia" w:ascii="宋体" w:hAnsi="宋体" w:eastAsia="宋体" w:cs="宋体"/>
          <w:sz w:val="21"/>
          <w:szCs w:val="21"/>
          <w:lang w:val="en-US" w:eastAsia="zh-CN"/>
        </w:rPr>
        <w:t>》</w:t>
      </w:r>
      <w:r>
        <w:rPr>
          <w:rFonts w:hint="eastAsia" w:ascii="宋体" w:hAnsi="宋体" w:eastAsia="宋体" w:cs="宋体"/>
          <w:sz w:val="21"/>
          <w:szCs w:val="21"/>
        </w:rPr>
        <w:t>从而提出了实验室专用水气配件技术规范 第4部分：</w:t>
      </w:r>
      <w:r>
        <w:rPr>
          <w:rFonts w:hint="eastAsia" w:ascii="宋体" w:hAnsi="宋体" w:eastAsia="宋体" w:cs="宋体"/>
          <w:sz w:val="21"/>
          <w:szCs w:val="21"/>
          <w:lang w:val="en-US" w:eastAsia="zh-Hans"/>
        </w:rPr>
        <w:t>气阀</w:t>
      </w:r>
      <w:r>
        <w:rPr>
          <w:rFonts w:hint="eastAsia" w:ascii="宋体" w:hAnsi="宋体" w:eastAsia="宋体" w:cs="宋体"/>
          <w:sz w:val="21"/>
          <w:szCs w:val="21"/>
        </w:rPr>
        <w:t>标准的制定。调研分析实验室用气阀产品的生产、安装和使用，满足实验室环境对气阀的耐腐蚀性、密封性、持久耐用等高级别的需求。</w:t>
      </w:r>
    </w:p>
    <w:p>
      <w:pPr>
        <w:pStyle w:val="8"/>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气阀作为实验室必备的产品，目前尚未有成熟和完备的标准，所以建立一套专业化的服务于实验室行业的标准系统是非常有必要的。</w:t>
      </w:r>
      <w:r>
        <w:rPr>
          <w:rFonts w:hint="eastAsia" w:ascii="宋体" w:hAnsi="宋体" w:eastAsia="宋体" w:cs="宋体"/>
          <w:sz w:val="21"/>
          <w:szCs w:val="21"/>
          <w:lang w:eastAsia="zh-CN"/>
        </w:rPr>
        <w:t>依据现有国家标准主要调研包括</w:t>
      </w:r>
      <w:r>
        <w:rPr>
          <w:rFonts w:hint="eastAsia" w:ascii="宋体" w:hAnsi="宋体" w:eastAsia="宋体" w:cs="宋体"/>
          <w:sz w:val="21"/>
          <w:szCs w:val="21"/>
          <w:lang w:val="en-US" w:eastAsia="zh-CN"/>
        </w:rPr>
        <w:t>壳体试验压力，上密封试验压力，密封试验压力，试验压力1.6 MPa±0.05 MPa，</w:t>
      </w:r>
      <w:r>
        <w:rPr>
          <w:rFonts w:hint="eastAsia" w:ascii="宋体" w:hAnsi="宋体" w:eastAsia="宋体" w:cs="宋体"/>
          <w:sz w:val="21"/>
          <w:szCs w:val="21"/>
          <w:lang w:val="en-US" w:eastAsia="zh-Hans"/>
        </w:rPr>
        <w:t>试验压力与第一部分水龙头保持一致，并</w:t>
      </w:r>
      <w:r>
        <w:rPr>
          <w:rFonts w:hint="eastAsia" w:ascii="宋体" w:hAnsi="宋体" w:eastAsia="宋体" w:cs="宋体"/>
          <w:sz w:val="21"/>
          <w:szCs w:val="21"/>
          <w:lang w:val="en-US" w:eastAsia="zh-CN"/>
        </w:rPr>
        <w:t>逐渐加压到 1.1倍，保持60 s，</w:t>
      </w:r>
      <w:r>
        <w:rPr>
          <w:rFonts w:hint="eastAsia" w:ascii="宋体" w:hAnsi="宋体" w:eastAsia="宋体" w:cs="宋体"/>
          <w:sz w:val="21"/>
          <w:szCs w:val="21"/>
          <w:lang w:val="en-US" w:eastAsia="zh-Hans"/>
        </w:rPr>
        <w:t>检测时间参考国内标准</w:t>
      </w:r>
      <w:r>
        <w:rPr>
          <w:rFonts w:hint="eastAsia" w:ascii="宋体" w:hAnsi="宋体" w:eastAsia="宋体" w:cs="宋体"/>
          <w:sz w:val="21"/>
          <w:szCs w:val="21"/>
          <w:lang w:val="en-US" w:eastAsia="zh-CN"/>
        </w:rPr>
        <w:t>GB/T 19672―2021《管线阀门 技术条件》</w:t>
      </w:r>
      <w:r>
        <w:rPr>
          <w:rFonts w:hint="eastAsia" w:ascii="宋体" w:hAnsi="宋体" w:eastAsia="宋体" w:cs="宋体"/>
          <w:sz w:val="21"/>
          <w:szCs w:val="21"/>
          <w:lang w:val="en-US" w:eastAsia="zh-Hans"/>
        </w:rPr>
        <w:t>，</w:t>
      </w:r>
      <w:r>
        <w:rPr>
          <w:rFonts w:hint="eastAsia" w:ascii="宋体" w:hAnsi="宋体" w:eastAsia="宋体" w:cs="宋体"/>
          <w:sz w:val="21"/>
          <w:szCs w:val="21"/>
          <w:lang w:val="en-US" w:eastAsia="zh-CN"/>
        </w:rPr>
        <w:t>然后检查阀体、填料箱等各连接处，不应有结构性损伤，不允许有可见泄露，达到更高要求。</w:t>
      </w:r>
    </w:p>
    <w:tbl>
      <w:tblPr>
        <w:tblStyle w:val="5"/>
        <w:tblW w:w="9310" w:type="dxa"/>
        <w:tblInd w:w="-2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4"/>
        <w:gridCol w:w="1371"/>
        <w:gridCol w:w="1430"/>
        <w:gridCol w:w="5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序号</w:t>
            </w:r>
          </w:p>
        </w:tc>
        <w:tc>
          <w:tcPr>
            <w:tcW w:w="1371"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标准号</w:t>
            </w:r>
          </w:p>
        </w:tc>
        <w:tc>
          <w:tcPr>
            <w:tcW w:w="143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标准名称</w:t>
            </w:r>
          </w:p>
        </w:tc>
        <w:tc>
          <w:tcPr>
            <w:tcW w:w="5855"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371"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GB/T 13927-2008</w:t>
            </w:r>
          </w:p>
        </w:tc>
        <w:tc>
          <w:tcPr>
            <w:tcW w:w="143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工业阀门 压力试验</w:t>
            </w: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p>
        </w:tc>
        <w:tc>
          <w:tcPr>
            <w:tcW w:w="5855" w:type="dxa"/>
            <w:vAlign w:val="center"/>
          </w:tcPr>
          <w:p>
            <w:pPr>
              <w:pStyle w:val="8"/>
              <w:keepNext w:val="0"/>
              <w:keepLines w:val="0"/>
              <w:pageBreakBefore w:val="0"/>
              <w:numPr>
                <w:ilvl w:val="0"/>
                <w:numId w:val="2"/>
              </w:numPr>
              <w:kinsoku/>
              <w:wordWrap/>
              <w:overflowPunct/>
              <w:topLinePunct w:val="0"/>
              <w:bidi w:val="0"/>
              <w:adjustRightInd/>
              <w:snapToGrid/>
              <w:spacing w:line="360" w:lineRule="auto"/>
              <w:ind w:firstLine="0" w:firstLineChars="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GB/T 13927-2008提出了</w:t>
            </w:r>
            <w:r>
              <w:rPr>
                <w:rFonts w:hint="eastAsia" w:ascii="宋体" w:hAnsi="宋体" w:eastAsia="宋体" w:cs="宋体"/>
                <w:sz w:val="18"/>
                <w:szCs w:val="18"/>
                <w:lang w:val="en-US" w:eastAsia="zh-Hans"/>
              </w:rPr>
              <w:t>壳体试验、密封试验和上密封试验</w:t>
            </w:r>
            <w:r>
              <w:rPr>
                <w:rFonts w:hint="eastAsia" w:ascii="宋体" w:hAnsi="宋体" w:eastAsia="宋体" w:cs="宋体"/>
                <w:sz w:val="18"/>
                <w:szCs w:val="18"/>
                <w:lang w:val="en-US" w:eastAsia="zh-CN"/>
              </w:rPr>
              <w:t>。</w:t>
            </w:r>
          </w:p>
          <w:p>
            <w:pPr>
              <w:pStyle w:val="8"/>
              <w:keepNext w:val="0"/>
              <w:keepLines w:val="0"/>
              <w:pageBreakBefore w:val="0"/>
              <w:numPr>
                <w:ilvl w:val="0"/>
                <w:numId w:val="2"/>
              </w:numPr>
              <w:kinsoku/>
              <w:wordWrap/>
              <w:overflowPunct/>
              <w:topLinePunct w:val="0"/>
              <w:bidi w:val="0"/>
              <w:adjustRightInd/>
              <w:snapToGrid/>
              <w:spacing w:line="360" w:lineRule="auto"/>
              <w:ind w:firstLine="0" w:firstLineChars="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本标准给出了试验压力0.6MPa±0.05MPa提升至1.6MPa±0.05MPa，</w:t>
            </w:r>
            <w:r>
              <w:rPr>
                <w:rFonts w:hint="eastAsia" w:ascii="宋体" w:hAnsi="宋体" w:eastAsia="宋体" w:cs="宋体"/>
                <w:sz w:val="18"/>
                <w:szCs w:val="18"/>
                <w:lang w:val="en-US" w:eastAsia="zh-Hans"/>
              </w:rPr>
              <w:t>是阀门在 20℃时的允许最大工作压力的 1.1倍，</w:t>
            </w:r>
            <w:r>
              <w:rPr>
                <w:rFonts w:hint="eastAsia" w:ascii="宋体" w:hAnsi="宋体" w:eastAsia="宋体" w:cs="宋体"/>
                <w:sz w:val="18"/>
                <w:szCs w:val="18"/>
                <w:lang w:val="en-US" w:eastAsia="zh-CN"/>
              </w:rPr>
              <w:t>与第一部分水龙头</w:t>
            </w:r>
            <w:r>
              <w:rPr>
                <w:rFonts w:hint="eastAsia" w:ascii="宋体" w:hAnsi="宋体" w:eastAsia="宋体" w:cs="宋体"/>
                <w:sz w:val="18"/>
                <w:szCs w:val="18"/>
                <w:lang w:val="en-US" w:eastAsia="zh-Hans"/>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371"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GB/T 10125-2012</w:t>
            </w:r>
          </w:p>
        </w:tc>
        <w:tc>
          <w:tcPr>
            <w:tcW w:w="143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人造气氛腐蚀试验盐雾试验</w:t>
            </w:r>
          </w:p>
        </w:tc>
        <w:tc>
          <w:tcPr>
            <w:tcW w:w="5855"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1、</w:t>
            </w:r>
            <w:r>
              <w:rPr>
                <w:rFonts w:hint="eastAsia" w:ascii="宋体" w:hAnsi="宋体" w:eastAsia="宋体" w:cs="宋体"/>
                <w:sz w:val="18"/>
                <w:szCs w:val="18"/>
              </w:rPr>
              <w:t>GB/T 10125-2012</w:t>
            </w:r>
            <w:r>
              <w:rPr>
                <w:rFonts w:hint="eastAsia" w:ascii="宋体" w:hAnsi="宋体" w:eastAsia="宋体" w:cs="宋体"/>
                <w:sz w:val="18"/>
                <w:szCs w:val="18"/>
                <w:lang w:eastAsia="zh-CN"/>
              </w:rPr>
              <w:t>提出了</w:t>
            </w:r>
            <w:r>
              <w:rPr>
                <w:rFonts w:hint="eastAsia" w:ascii="宋体" w:hAnsi="宋体" w:eastAsia="宋体" w:cs="宋体"/>
                <w:sz w:val="18"/>
                <w:szCs w:val="18"/>
              </w:rPr>
              <w:t>对需要进行盐雾</w:t>
            </w:r>
            <w:r>
              <w:rPr>
                <w:rFonts w:hint="eastAsia" w:ascii="宋体" w:hAnsi="宋体" w:eastAsia="宋体" w:cs="宋体"/>
                <w:sz w:val="18"/>
                <w:szCs w:val="18"/>
                <w:lang w:eastAsia="zh-CN"/>
              </w:rPr>
              <w:t>试验的</w:t>
            </w:r>
            <w:r>
              <w:rPr>
                <w:rFonts w:hint="eastAsia" w:ascii="宋体" w:hAnsi="宋体" w:eastAsia="宋体" w:cs="宋体"/>
                <w:sz w:val="18"/>
                <w:szCs w:val="18"/>
              </w:rPr>
              <w:t>产品进行检测规定</w:t>
            </w:r>
            <w:r>
              <w:rPr>
                <w:rFonts w:hint="eastAsia" w:ascii="宋体" w:hAnsi="宋体" w:eastAsia="宋体" w:cs="宋体"/>
                <w:sz w:val="18"/>
                <w:szCs w:val="18"/>
                <w:lang w:eastAsia="zh-CN"/>
              </w:rPr>
              <w:t>。</w:t>
            </w:r>
          </w:p>
          <w:p>
            <w:pPr>
              <w:pStyle w:val="8"/>
              <w:keepNext w:val="0"/>
              <w:keepLines w:val="0"/>
              <w:pageBreakBefore w:val="0"/>
              <w:kinsoku/>
              <w:wordWrap/>
              <w:overflowPunct/>
              <w:topLinePunct w:val="0"/>
              <w:bidi w:val="0"/>
              <w:adjustRightInd/>
              <w:snapToGrid/>
              <w:spacing w:line="360" w:lineRule="auto"/>
              <w:ind w:firstLine="0" w:firstLineChars="0"/>
              <w:jc w:val="both"/>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CN"/>
              </w:rPr>
              <w:t>2、</w:t>
            </w:r>
            <w:r>
              <w:rPr>
                <w:rFonts w:hint="eastAsia" w:ascii="宋体" w:hAnsi="宋体" w:eastAsia="宋体" w:cs="宋体"/>
                <w:sz w:val="18"/>
                <w:szCs w:val="18"/>
                <w:lang w:eastAsia="zh-CN"/>
              </w:rPr>
              <w:t>本标准明确给出了</w:t>
            </w:r>
            <w:r>
              <w:rPr>
                <w:rFonts w:hint="eastAsia" w:ascii="宋体" w:hAnsi="宋体" w:eastAsia="宋体" w:cs="宋体"/>
                <w:sz w:val="18"/>
                <w:szCs w:val="18"/>
              </w:rPr>
              <w:t>对需要进行盐雾试验的金属件产品进行检测规定。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4"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371"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GB/T </w:t>
            </w: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19672―2021</w:t>
            </w:r>
          </w:p>
        </w:tc>
        <w:tc>
          <w:tcPr>
            <w:tcW w:w="143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管线阀门 技术条件</w:t>
            </w:r>
          </w:p>
        </w:tc>
        <w:tc>
          <w:tcPr>
            <w:tcW w:w="5855" w:type="dxa"/>
            <w:vAlign w:val="center"/>
          </w:tcPr>
          <w:p>
            <w:pPr>
              <w:pStyle w:val="8"/>
              <w:keepNext w:val="0"/>
              <w:keepLines w:val="0"/>
              <w:pageBreakBefore w:val="0"/>
              <w:numPr>
                <w:ilvl w:val="0"/>
                <w:numId w:val="3"/>
              </w:numPr>
              <w:kinsoku/>
              <w:wordWrap/>
              <w:overflowPunct/>
              <w:topLinePunct w:val="0"/>
              <w:bidi w:val="0"/>
              <w:adjustRightInd/>
              <w:snapToGrid/>
              <w:spacing w:line="360" w:lineRule="auto"/>
              <w:ind w:firstLine="0" w:firstLineChars="0"/>
              <w:jc w:val="both"/>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GB/T 19672―2021</w:t>
            </w:r>
            <w:r>
              <w:rPr>
                <w:rFonts w:hint="eastAsia" w:ascii="宋体" w:hAnsi="宋体" w:eastAsia="宋体" w:cs="宋体"/>
                <w:sz w:val="18"/>
                <w:szCs w:val="18"/>
                <w:lang w:eastAsia="zh-CN"/>
              </w:rPr>
              <w:t>提出了气阀压力</w:t>
            </w:r>
            <w:r>
              <w:rPr>
                <w:rFonts w:hint="eastAsia" w:ascii="宋体" w:hAnsi="宋体" w:eastAsia="宋体" w:cs="宋体"/>
                <w:sz w:val="18"/>
                <w:szCs w:val="18"/>
                <w:lang w:val="en-US" w:eastAsia="zh-CN"/>
              </w:rPr>
              <w:t>试验的持续时间30s。</w:t>
            </w:r>
          </w:p>
          <w:p>
            <w:pPr>
              <w:pStyle w:val="8"/>
              <w:keepNext w:val="0"/>
              <w:keepLines w:val="0"/>
              <w:pageBreakBefore w:val="0"/>
              <w:numPr>
                <w:ilvl w:val="0"/>
                <w:numId w:val="0"/>
              </w:numPr>
              <w:kinsoku/>
              <w:wordWrap/>
              <w:overflowPunct/>
              <w:topLinePunct w:val="0"/>
              <w:bidi w:val="0"/>
              <w:adjustRightInd/>
              <w:snapToGrid/>
              <w:spacing w:line="360" w:lineRule="auto"/>
              <w:jc w:val="both"/>
              <w:textAlignment w:val="auto"/>
              <w:rPr>
                <w:rFonts w:hint="eastAsia" w:ascii="宋体" w:hAnsi="宋体" w:eastAsia="宋体" w:cs="宋体"/>
                <w:kern w:val="2"/>
                <w:sz w:val="18"/>
                <w:szCs w:val="18"/>
                <w:lang w:val="en-US" w:eastAsia="zh-CN" w:bidi="ar-SA"/>
              </w:rPr>
            </w:pPr>
            <w:r>
              <w:rPr>
                <w:rFonts w:hint="eastAsia" w:ascii="宋体" w:hAnsi="宋体" w:eastAsia="宋体" w:cs="宋体"/>
                <w:sz w:val="18"/>
                <w:szCs w:val="18"/>
                <w:lang w:val="en-US" w:eastAsia="zh-CN"/>
              </w:rPr>
              <w:t>2、</w:t>
            </w:r>
            <w:r>
              <w:rPr>
                <w:rFonts w:hint="eastAsia" w:ascii="宋体" w:hAnsi="宋体" w:eastAsia="宋体" w:cs="宋体"/>
                <w:sz w:val="18"/>
                <w:szCs w:val="18"/>
                <w:lang w:eastAsia="zh-CN"/>
              </w:rPr>
              <w:t>本标准明确给出了气阀压力试验的持</w:t>
            </w:r>
            <w:r>
              <w:rPr>
                <w:rFonts w:hint="eastAsia" w:ascii="宋体" w:hAnsi="宋体" w:eastAsia="宋体" w:cs="宋体"/>
                <w:sz w:val="18"/>
                <w:szCs w:val="18"/>
                <w:lang w:val="en-US" w:eastAsia="zh-CN"/>
              </w:rPr>
              <w:t>续时间与第一部分水龙头</w:t>
            </w:r>
            <w:r>
              <w:rPr>
                <w:rFonts w:hint="eastAsia" w:ascii="宋体" w:hAnsi="宋体" w:eastAsia="宋体" w:cs="宋体"/>
                <w:sz w:val="18"/>
                <w:szCs w:val="18"/>
                <w:lang w:val="en-US" w:eastAsia="zh-Hans"/>
              </w:rPr>
              <w:t>一致</w:t>
            </w:r>
            <w:r>
              <w:rPr>
                <w:rFonts w:hint="eastAsia" w:ascii="宋体" w:hAnsi="宋体" w:eastAsia="宋体" w:cs="宋体"/>
                <w:sz w:val="18"/>
                <w:szCs w:val="18"/>
                <w:lang w:val="en-US" w:eastAsia="zh-CN"/>
              </w:rPr>
              <w:t>，</w:t>
            </w:r>
            <w:r>
              <w:rPr>
                <w:rFonts w:hint="eastAsia" w:ascii="宋体" w:hAnsi="宋体" w:eastAsia="宋体" w:cs="宋体"/>
                <w:sz w:val="18"/>
                <w:szCs w:val="18"/>
                <w:lang w:val="en-US" w:eastAsia="zh-Hans"/>
              </w:rPr>
              <w:t>试验持续时间60s</w:t>
            </w:r>
            <w:r>
              <w:rPr>
                <w:rFonts w:hint="eastAsia" w:ascii="宋体" w:hAnsi="宋体" w:eastAsia="宋体" w:cs="宋体"/>
                <w:sz w:val="18"/>
                <w:szCs w:val="18"/>
                <w:lang w:val="en-US" w:eastAsia="zh-CN"/>
              </w:rPr>
              <w:t>。</w:t>
            </w:r>
          </w:p>
        </w:tc>
      </w:tr>
    </w:tbl>
    <w:p>
      <w:pPr>
        <w:pStyle w:val="8"/>
        <w:keepNext w:val="0"/>
        <w:keepLines w:val="0"/>
        <w:pageBreakBefore w:val="0"/>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sz w:val="21"/>
          <w:szCs w:val="21"/>
        </w:rPr>
      </w:pPr>
    </w:p>
    <w:p>
      <w:pPr>
        <w:pStyle w:val="8"/>
        <w:keepNext w:val="0"/>
        <w:keepLines w:val="0"/>
        <w:pageBreakBefore w:val="0"/>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sz w:val="21"/>
          <w:szCs w:val="21"/>
        </w:rPr>
      </w:pPr>
    </w:p>
    <w:p>
      <w:pPr>
        <w:pStyle w:val="8"/>
        <w:keepNext w:val="0"/>
        <w:keepLines w:val="0"/>
        <w:pageBreakBefore w:val="0"/>
        <w:numPr>
          <w:ilvl w:val="0"/>
          <w:numId w:val="4"/>
        </w:numPr>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sz w:val="21"/>
          <w:szCs w:val="21"/>
        </w:rPr>
      </w:pPr>
      <w:r>
        <w:rPr>
          <w:rFonts w:hint="eastAsia" w:ascii="宋体" w:hAnsi="宋体" w:eastAsia="宋体" w:cs="宋体"/>
          <w:sz w:val="21"/>
          <w:szCs w:val="21"/>
        </w:rPr>
        <w:t>征求意见稿阶段</w:t>
      </w:r>
    </w:p>
    <w:p>
      <w:pPr>
        <w:pStyle w:val="8"/>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2021年1月</w:t>
      </w:r>
      <w:r>
        <w:rPr>
          <w:rFonts w:hint="eastAsia" w:ascii="宋体" w:hAnsi="宋体" w:eastAsia="宋体" w:cs="宋体"/>
          <w:color w:val="auto"/>
          <w:sz w:val="21"/>
          <w:szCs w:val="21"/>
          <w:lang w:val="en-US" w:eastAsia="zh-CN"/>
        </w:rPr>
        <w:t>16日</w:t>
      </w:r>
      <w:r>
        <w:rPr>
          <w:rFonts w:hint="eastAsia" w:ascii="宋体" w:hAnsi="宋体" w:eastAsia="宋体" w:cs="宋体"/>
          <w:color w:val="auto"/>
          <w:sz w:val="21"/>
          <w:szCs w:val="21"/>
        </w:rPr>
        <w:t>至2021年</w:t>
      </w:r>
      <w:r>
        <w:rPr>
          <w:rFonts w:hint="eastAsia" w:ascii="宋体" w:hAnsi="宋体" w:eastAsia="宋体" w:cs="宋体"/>
          <w:color w:val="auto"/>
          <w:sz w:val="21"/>
          <w:szCs w:val="21"/>
          <w:lang w:val="en-US" w:eastAsia="zh-CN"/>
        </w:rPr>
        <w:t>7月16日编制组预研学习国内外现有标准</w:t>
      </w:r>
      <w:r>
        <w:rPr>
          <w:rFonts w:hint="eastAsia" w:hAnsi="宋体" w:cs="宋体"/>
          <w:color w:val="auto"/>
          <w:sz w:val="21"/>
          <w:szCs w:val="21"/>
          <w:lang w:val="en-US" w:eastAsia="zh-CN"/>
        </w:rPr>
        <w:t>，并形成对标分析及标准大纲及标准草案内容等</w:t>
      </w:r>
      <w:r>
        <w:rPr>
          <w:rFonts w:hint="eastAsia" w:ascii="宋体" w:hAnsi="宋体" w:eastAsia="宋体" w:cs="宋体"/>
          <w:color w:val="auto"/>
          <w:sz w:val="21"/>
          <w:szCs w:val="21"/>
          <w:lang w:val="en-US" w:eastAsia="zh-CN"/>
        </w:rPr>
        <w:t>；</w:t>
      </w:r>
    </w:p>
    <w:p>
      <w:pPr>
        <w:pStyle w:val="8"/>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2021年7月17日立项；</w:t>
      </w:r>
    </w:p>
    <w:p>
      <w:pPr>
        <w:pStyle w:val="8"/>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2021年7月17日至2022年1月20日完成标准编制，形成标准征求意见稿；</w:t>
      </w:r>
    </w:p>
    <w:p>
      <w:pPr>
        <w:pStyle w:val="8"/>
        <w:spacing w:line="360" w:lineRule="auto"/>
        <w:rPr>
          <w:rFonts w:hint="eastAsia" w:ascii="宋体" w:hAnsi="宋体" w:eastAsia="宋体" w:cs="宋体"/>
          <w:sz w:val="21"/>
          <w:szCs w:val="21"/>
        </w:rPr>
      </w:pPr>
      <w:r>
        <w:rPr>
          <w:rFonts w:hint="eastAsia" w:ascii="宋体" w:hAnsi="宋体" w:eastAsia="宋体" w:cs="宋体"/>
          <w:color w:val="auto"/>
          <w:sz w:val="21"/>
          <w:szCs w:val="21"/>
          <w:lang w:val="en-US" w:eastAsia="zh-CN"/>
        </w:rPr>
        <w:t>2022年1月21日至2022年3月8日公开发布征求意见稿，广泛征求意见。</w:t>
      </w:r>
    </w:p>
    <w:p>
      <w:pPr>
        <w:pStyle w:val="8"/>
        <w:spacing w:line="360" w:lineRule="auto"/>
        <w:ind w:firstLine="315" w:firstLineChars="150"/>
        <w:rPr>
          <w:rFonts w:hint="eastAsia" w:ascii="宋体" w:hAnsi="宋体" w:eastAsia="宋体" w:cs="宋体"/>
          <w:kern w:val="2"/>
          <w:sz w:val="21"/>
          <w:szCs w:val="21"/>
          <w:lang w:val="en-US" w:eastAsia="zh-Hans" w:bidi="ar-SA"/>
        </w:rPr>
      </w:pPr>
      <w:r>
        <w:rPr>
          <w:rFonts w:hint="eastAsia" w:ascii="宋体" w:hAnsi="宋体" w:eastAsia="宋体" w:cs="宋体"/>
          <w:color w:val="auto"/>
          <w:sz w:val="21"/>
          <w:szCs w:val="21"/>
        </w:rPr>
        <w:t>编制组在</w:t>
      </w:r>
      <w:r>
        <w:rPr>
          <w:rFonts w:hint="eastAsia" w:hAnsi="宋体" w:cs="宋体"/>
          <w:color w:val="auto"/>
          <w:sz w:val="21"/>
          <w:szCs w:val="21"/>
          <w:lang w:eastAsia="zh-CN"/>
        </w:rPr>
        <w:t>预研和编制阶段，</w:t>
      </w:r>
      <w:r>
        <w:rPr>
          <w:rFonts w:hint="eastAsia" w:ascii="宋体" w:hAnsi="宋体" w:eastAsia="宋体" w:cs="宋体"/>
          <w:sz w:val="21"/>
          <w:szCs w:val="21"/>
        </w:rPr>
        <w:t>对国内外有关标准，</w:t>
      </w:r>
      <w:r>
        <w:rPr>
          <w:rFonts w:hint="eastAsia" w:ascii="宋体" w:hAnsi="宋体" w:eastAsia="宋体" w:cs="宋体"/>
          <w:color w:val="auto"/>
          <w:sz w:val="21"/>
          <w:szCs w:val="21"/>
        </w:rPr>
        <w:t>以及实验室</w:t>
      </w:r>
      <w:r>
        <w:rPr>
          <w:rFonts w:hint="eastAsia" w:ascii="宋体" w:hAnsi="宋体" w:eastAsia="宋体" w:cs="宋体"/>
          <w:color w:val="auto"/>
          <w:sz w:val="21"/>
          <w:szCs w:val="21"/>
          <w:lang w:val="en-US" w:eastAsia="zh-Hans"/>
        </w:rPr>
        <w:t>气阀</w:t>
      </w:r>
      <w:r>
        <w:rPr>
          <w:rFonts w:hint="eastAsia" w:ascii="宋体" w:hAnsi="宋体" w:eastAsia="宋体" w:cs="宋体"/>
          <w:color w:val="auto"/>
          <w:sz w:val="21"/>
          <w:szCs w:val="21"/>
        </w:rPr>
        <w:t>的实</w:t>
      </w:r>
      <w:r>
        <w:rPr>
          <w:rFonts w:hint="eastAsia" w:ascii="宋体" w:hAnsi="宋体" w:eastAsia="宋体" w:cs="宋体"/>
          <w:sz w:val="21"/>
          <w:szCs w:val="21"/>
        </w:rPr>
        <w:t>施情况等进行调研分析的</w:t>
      </w:r>
      <w:r>
        <w:rPr>
          <w:rFonts w:hint="eastAsia" w:ascii="宋体" w:hAnsi="宋体" w:eastAsia="宋体" w:cs="宋体"/>
          <w:color w:val="auto"/>
          <w:sz w:val="21"/>
          <w:szCs w:val="21"/>
        </w:rPr>
        <w:t>基础上，归纳总结了其他行业标准制定的经验和各参与单位的科研成果</w:t>
      </w:r>
      <w:r>
        <w:rPr>
          <w:rFonts w:hint="eastAsia" w:ascii="宋体" w:hAnsi="宋体" w:eastAsia="宋体" w:cs="宋体"/>
          <w:sz w:val="21"/>
          <w:szCs w:val="21"/>
        </w:rPr>
        <w:t>，</w:t>
      </w:r>
      <w:r>
        <w:rPr>
          <w:rFonts w:hint="eastAsia" w:ascii="宋体" w:hAnsi="宋体" w:eastAsia="宋体" w:cs="宋体"/>
          <w:color w:val="auto"/>
          <w:sz w:val="21"/>
          <w:szCs w:val="21"/>
        </w:rPr>
        <w:t>分析研究了实验室</w:t>
      </w:r>
      <w:r>
        <w:rPr>
          <w:rFonts w:hint="eastAsia" w:ascii="宋体" w:hAnsi="宋体" w:eastAsia="宋体" w:cs="宋体"/>
          <w:color w:val="auto"/>
          <w:sz w:val="21"/>
          <w:szCs w:val="21"/>
          <w:lang w:val="en-US" w:eastAsia="zh-Hans"/>
        </w:rPr>
        <w:t>气阀</w:t>
      </w:r>
      <w:r>
        <w:rPr>
          <w:rFonts w:hint="eastAsia" w:ascii="宋体" w:hAnsi="宋体" w:eastAsia="宋体" w:cs="宋体"/>
          <w:color w:val="auto"/>
          <w:sz w:val="21"/>
          <w:szCs w:val="21"/>
        </w:rPr>
        <w:t>的最新需求，编</w:t>
      </w:r>
      <w:r>
        <w:rPr>
          <w:rFonts w:hint="eastAsia" w:ascii="宋体" w:hAnsi="宋体" w:eastAsia="宋体" w:cs="宋体"/>
          <w:sz w:val="21"/>
          <w:szCs w:val="21"/>
        </w:rPr>
        <w:t>制形成了标准草案</w:t>
      </w:r>
      <w:r>
        <w:rPr>
          <w:rFonts w:hint="eastAsia" w:hAnsi="宋体" w:cs="宋体"/>
          <w:sz w:val="21"/>
          <w:szCs w:val="21"/>
          <w:lang w:eastAsia="zh-CN"/>
        </w:rPr>
        <w:t>。</w:t>
      </w:r>
      <w:r>
        <w:rPr>
          <w:rFonts w:hint="eastAsia" w:ascii="宋体" w:hAnsi="宋体" w:eastAsia="宋体" w:cs="宋体"/>
          <w:color w:val="auto"/>
          <w:sz w:val="21"/>
          <w:szCs w:val="21"/>
        </w:rPr>
        <w:t>并</w:t>
      </w:r>
      <w:r>
        <w:rPr>
          <w:rFonts w:hint="eastAsia" w:ascii="宋体" w:hAnsi="宋体" w:eastAsia="宋体" w:cs="宋体"/>
          <w:color w:val="auto"/>
          <w:sz w:val="21"/>
          <w:szCs w:val="21"/>
          <w:lang w:eastAsia="zh-CN"/>
        </w:rPr>
        <w:t>向检测单位、用户等相关单位</w:t>
      </w:r>
      <w:r>
        <w:rPr>
          <w:rFonts w:hint="eastAsia" w:ascii="宋体" w:hAnsi="宋体" w:eastAsia="宋体" w:cs="宋体"/>
          <w:color w:val="auto"/>
          <w:sz w:val="21"/>
          <w:szCs w:val="21"/>
        </w:rPr>
        <w:t>开展内部研讨</w:t>
      </w:r>
      <w:r>
        <w:rPr>
          <w:rFonts w:hint="eastAsia" w:ascii="宋体" w:hAnsi="宋体" w:eastAsia="宋体" w:cs="宋体"/>
          <w:color w:val="auto"/>
          <w:sz w:val="21"/>
          <w:szCs w:val="21"/>
          <w:lang w:eastAsia="zh-CN"/>
        </w:rPr>
        <w:t>，听取相关意见后</w:t>
      </w:r>
      <w:r>
        <w:rPr>
          <w:rFonts w:hint="eastAsia" w:ascii="宋体" w:hAnsi="宋体" w:eastAsia="宋体" w:cs="宋体"/>
          <w:color w:val="auto"/>
          <w:sz w:val="21"/>
          <w:szCs w:val="21"/>
        </w:rPr>
        <w:t>修改完善形成标准征求意见稿及其编制说明</w:t>
      </w:r>
      <w:r>
        <w:rPr>
          <w:rFonts w:hint="eastAsia" w:hAnsi="宋体" w:cs="宋体"/>
          <w:color w:val="auto"/>
          <w:sz w:val="21"/>
          <w:szCs w:val="21"/>
          <w:lang w:eastAsia="zh-CN"/>
        </w:rPr>
        <w:t>。</w:t>
      </w:r>
      <w:r>
        <w:rPr>
          <w:rFonts w:hint="eastAsia" w:ascii="宋体" w:hAnsi="宋体" w:eastAsia="宋体" w:cs="宋体"/>
          <w:sz w:val="21"/>
          <w:szCs w:val="21"/>
        </w:rPr>
        <w:t xml:space="preserve">     </w:t>
      </w:r>
    </w:p>
    <w:p>
      <w:pPr>
        <w:pStyle w:val="8"/>
        <w:keepNext w:val="0"/>
        <w:keepLines w:val="0"/>
        <w:pageBreakBefore w:val="0"/>
        <w:numPr>
          <w:ilvl w:val="0"/>
          <w:numId w:val="1"/>
        </w:numPr>
        <w:kinsoku/>
        <w:wordWrap/>
        <w:overflowPunct/>
        <w:topLinePunct w:val="0"/>
        <w:bidi w:val="0"/>
        <w:adjustRightInd/>
        <w:snapToGrid/>
        <w:spacing w:line="360" w:lineRule="auto"/>
        <w:ind w:left="0" w:leftChars="0" w:firstLine="0" w:firstLineChars="0"/>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采用国际标准和国外先进标准的情况</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 xml:space="preserve">  3.1</w:t>
      </w:r>
      <w:r>
        <w:rPr>
          <w:rFonts w:hint="eastAsia" w:ascii="宋体" w:hAnsi="宋体" w:eastAsia="宋体" w:cs="宋体"/>
          <w:kern w:val="2"/>
          <w:sz w:val="21"/>
          <w:szCs w:val="21"/>
          <w:lang w:val="en-US" w:eastAsia="zh-CN" w:bidi="ar-SA"/>
        </w:rPr>
        <w:t xml:space="preserve"> </w:t>
      </w:r>
      <w:r>
        <w:rPr>
          <w:rFonts w:hint="eastAsia" w:ascii="宋体" w:hAnsi="宋体" w:eastAsia="宋体" w:cs="宋体"/>
          <w:kern w:val="2"/>
          <w:sz w:val="21"/>
          <w:szCs w:val="21"/>
          <w:lang w:val="en-US" w:eastAsia="zh-Hans" w:bidi="ar-SA"/>
        </w:rPr>
        <w:t>国内标准制定情况</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 xml:space="preserve">     目前国内尚无专门针对实验室气阀制定国家标准。参考GB/T 13927-2008《工业阀门 压力试验》， 针对气阀进行的试验方法如壳体试验、上密封试验及密封试验。</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 xml:space="preserve">  3.2</w:t>
      </w:r>
      <w:r>
        <w:rPr>
          <w:rFonts w:hint="eastAsia" w:ascii="宋体" w:hAnsi="宋体" w:eastAsia="宋体" w:cs="宋体"/>
          <w:kern w:val="2"/>
          <w:sz w:val="21"/>
          <w:szCs w:val="21"/>
          <w:lang w:val="en-US" w:eastAsia="zh-CN" w:bidi="ar-SA"/>
        </w:rPr>
        <w:t xml:space="preserve"> </w:t>
      </w:r>
      <w:r>
        <w:rPr>
          <w:rFonts w:hint="eastAsia" w:ascii="宋体" w:hAnsi="宋体" w:eastAsia="宋体" w:cs="宋体"/>
          <w:kern w:val="2"/>
          <w:sz w:val="21"/>
          <w:szCs w:val="21"/>
          <w:lang w:val="en-US" w:eastAsia="zh-Hans" w:bidi="ar-SA"/>
        </w:rPr>
        <w:t>国外标准制定情况</w:t>
      </w:r>
    </w:p>
    <w:p>
      <w:pPr>
        <w:pStyle w:val="8"/>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目前国外也尚无专门针对实验室气阀制定标准。国外主要是欧美地区使用的美国科学仪器设备实验室家具协会（SEFA）参考手册，对气阀的产品种类及表面耐腐蚀性能做了规定，并被全世界从事实验室设备的制造商所接受。</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四、确定标准主要内容的依据</w:t>
      </w:r>
    </w:p>
    <w:p>
      <w:pPr>
        <w:pStyle w:val="8"/>
        <w:spacing w:line="360" w:lineRule="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本标准涉及的对象为实验室</w:t>
      </w:r>
      <w:r>
        <w:rPr>
          <w:rFonts w:hint="eastAsia" w:ascii="宋体" w:hAnsi="宋体" w:eastAsia="宋体" w:cs="宋体"/>
          <w:kern w:val="2"/>
          <w:sz w:val="21"/>
          <w:szCs w:val="21"/>
          <w:lang w:val="en-US" w:eastAsia="zh-Hans" w:bidi="ar-SA"/>
        </w:rPr>
        <w:t>用</w:t>
      </w:r>
      <w:r>
        <w:rPr>
          <w:rFonts w:hint="eastAsia" w:ascii="宋体" w:hAnsi="宋体" w:eastAsia="宋体" w:cs="宋体"/>
          <w:kern w:val="2"/>
          <w:sz w:val="21"/>
          <w:szCs w:val="21"/>
          <w:lang w:val="en-US" w:eastAsia="zh-CN" w:bidi="ar-SA"/>
        </w:rPr>
        <w:t>气阀，该产品应用于实验室、试剂库、医院等专业场所。本标准涉及的产品处在市场发展初期，技术上仍有进一步提升和优化的空间 ，所以在保证标准稳定性的情况下，需要考虑标准指标等在后期的适度调整。</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标准主要技术</w:t>
      </w:r>
      <w:r>
        <w:rPr>
          <w:rFonts w:hint="eastAsia" w:ascii="宋体" w:hAnsi="宋体" w:eastAsia="宋体" w:cs="宋体"/>
          <w:kern w:val="2"/>
          <w:sz w:val="21"/>
          <w:szCs w:val="21"/>
          <w:lang w:val="en-US" w:eastAsia="zh-CN" w:bidi="ar-SA"/>
        </w:rPr>
        <w:t>指标的确认依据如下:</w:t>
      </w:r>
    </w:p>
    <w:p>
      <w:pPr>
        <w:pStyle w:val="8"/>
        <w:spacing w:line="360" w:lineRule="auto"/>
        <w:ind w:left="0" w:leftChars="0" w:firstLine="420" w:firstLineChars="200"/>
        <w:rPr>
          <w:rFonts w:hint="eastAsia" w:ascii="宋体" w:hAnsi="宋体" w:eastAsia="宋体" w:cs="宋体"/>
          <w:sz w:val="21"/>
          <w:szCs w:val="21"/>
          <w:lang w:val="en-US" w:eastAsia="zh-Hans"/>
        </w:rPr>
      </w:pPr>
      <w:r>
        <w:rPr>
          <w:rFonts w:hint="eastAsia" w:ascii="宋体" w:hAnsi="宋体" w:eastAsia="宋体" w:cs="宋体"/>
          <w:kern w:val="2"/>
          <w:sz w:val="21"/>
          <w:szCs w:val="21"/>
          <w:lang w:val="en-US" w:eastAsia="zh-Hans" w:bidi="ar-SA"/>
        </w:rPr>
        <w:t>主要技术内容：螺纹、</w:t>
      </w:r>
      <w:r>
        <w:rPr>
          <w:rFonts w:hint="eastAsia" w:ascii="宋体" w:hAnsi="宋体" w:eastAsia="宋体" w:cs="宋体"/>
          <w:kern w:val="2"/>
          <w:sz w:val="21"/>
          <w:szCs w:val="21"/>
          <w:lang w:val="en-US" w:eastAsia="zh-CN" w:bidi="ar-SA"/>
        </w:rPr>
        <w:t>试验时间、</w:t>
      </w:r>
      <w:r>
        <w:rPr>
          <w:rFonts w:hint="eastAsia" w:ascii="宋体" w:hAnsi="宋体" w:eastAsia="宋体" w:cs="宋体"/>
          <w:kern w:val="2"/>
          <w:sz w:val="21"/>
          <w:szCs w:val="21"/>
          <w:lang w:val="en-US" w:eastAsia="zh-Hans" w:bidi="ar-SA"/>
        </w:rPr>
        <w:t>壳体试验压力、上密封试验压力、密封试验压力、表面耐腐蚀性能、涂层附着强度</w:t>
      </w:r>
      <w:r>
        <w:rPr>
          <w:rFonts w:hint="eastAsia" w:ascii="宋体" w:hAnsi="宋体" w:eastAsia="宋体" w:cs="宋体"/>
          <w:kern w:val="2"/>
          <w:sz w:val="21"/>
          <w:szCs w:val="21"/>
          <w:lang w:val="en-US" w:eastAsia="zh-CN" w:bidi="ar-SA"/>
        </w:rPr>
        <w:t>。</w:t>
      </w:r>
      <w:r>
        <w:rPr>
          <w:rFonts w:hint="eastAsia" w:ascii="宋体" w:hAnsi="宋体" w:eastAsia="宋体" w:cs="宋体"/>
          <w:sz w:val="21"/>
          <w:szCs w:val="21"/>
          <w:lang w:val="en-US" w:eastAsia="zh-Hans"/>
        </w:rPr>
        <w:t xml:space="preserve">  </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sz w:val="21"/>
          <w:szCs w:val="21"/>
          <w:lang w:val="en-US" w:eastAsia="zh-CN"/>
        </w:rPr>
        <w:t>（1）</w:t>
      </w:r>
      <w:r>
        <w:rPr>
          <w:rFonts w:hint="eastAsia" w:ascii="宋体" w:hAnsi="宋体" w:eastAsia="宋体" w:cs="宋体"/>
          <w:kern w:val="2"/>
          <w:sz w:val="21"/>
          <w:szCs w:val="21"/>
          <w:lang w:val="en-US" w:eastAsia="zh-Hans" w:bidi="ar-SA"/>
        </w:rPr>
        <w:t>原材料使用要求</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kern w:val="2"/>
          <w:sz w:val="21"/>
          <w:szCs w:val="21"/>
          <w:lang w:val="en-US" w:eastAsia="zh-Hans" w:bidi="ar-SA"/>
        </w:rPr>
      </w:pPr>
      <w:r>
        <w:rPr>
          <w:rFonts w:hint="eastAsia" w:ascii="宋体" w:hAnsi="宋体" w:eastAsia="宋体" w:cs="宋体"/>
          <w:kern w:val="2"/>
          <w:sz w:val="21"/>
          <w:szCs w:val="21"/>
          <w:lang w:val="en-US" w:eastAsia="zh-Hans" w:bidi="ar-SA"/>
        </w:rPr>
        <w:t xml:space="preserve">   </w:t>
      </w:r>
      <w:r>
        <w:rPr>
          <w:rFonts w:hint="eastAsia" w:ascii="宋体" w:hAnsi="宋体" w:eastAsia="宋体" w:cs="宋体"/>
          <w:kern w:val="2"/>
          <w:sz w:val="21"/>
          <w:szCs w:val="21"/>
          <w:lang w:val="en-US" w:eastAsia="zh-CN" w:bidi="ar-SA"/>
        </w:rPr>
        <w:t xml:space="preserve">  </w:t>
      </w:r>
      <w:r>
        <w:rPr>
          <w:rFonts w:hint="eastAsia" w:ascii="宋体" w:hAnsi="宋体" w:eastAsia="宋体" w:cs="宋体"/>
          <w:kern w:val="2"/>
          <w:sz w:val="21"/>
          <w:szCs w:val="21"/>
          <w:lang w:val="en-US" w:eastAsia="zh-Hans" w:bidi="ar-SA"/>
        </w:rPr>
        <w:t>标准规定对壳体及连接螺母的材质有以下要求（通过实际性能规定原材料）： 铜合金，其铜含量不小于58%如使用腐蚀性气体，阀体本身应具有防腐蚀性能。</w:t>
      </w:r>
    </w:p>
    <w:p>
      <w:pPr>
        <w:pStyle w:val="8"/>
        <w:keepNext w:val="0"/>
        <w:keepLines w:val="0"/>
        <w:pageBreakBefore w:val="0"/>
        <w:numPr>
          <w:ilvl w:val="0"/>
          <w:numId w:val="0"/>
        </w:numPr>
        <w:kinsoku/>
        <w:wordWrap/>
        <w:overflowPunct/>
        <w:topLinePunct w:val="0"/>
        <w:bidi w:val="0"/>
        <w:adjustRightInd/>
        <w:snapToGrid/>
        <w:spacing w:line="360" w:lineRule="auto"/>
        <w:ind w:firstLine="210"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eastAsia="宋体" w:cs="宋体"/>
          <w:sz w:val="21"/>
          <w:szCs w:val="21"/>
          <w:lang w:val="en-US" w:eastAsia="zh-Hans"/>
        </w:rPr>
        <w:t xml:space="preserve"> </w:t>
      </w:r>
      <w:r>
        <w:rPr>
          <w:rFonts w:hint="eastAsia" w:ascii="宋体" w:hAnsi="宋体" w:eastAsia="宋体" w:cs="宋体"/>
          <w:kern w:val="2"/>
          <w:sz w:val="21"/>
          <w:szCs w:val="21"/>
          <w:lang w:val="en-US" w:eastAsia="zh-CN" w:bidi="ar-SA"/>
        </w:rPr>
        <w:t>试验压力</w:t>
      </w:r>
      <w:r>
        <w:rPr>
          <w:rFonts w:hint="eastAsia" w:ascii="宋体" w:hAnsi="宋体" w:eastAsia="宋体" w:cs="宋体"/>
          <w:kern w:val="2"/>
          <w:sz w:val="21"/>
          <w:szCs w:val="21"/>
          <w:lang w:val="en-US" w:eastAsia="zh-Hans" w:bidi="ar-SA"/>
        </w:rPr>
        <w:t>参照国内标准GB/T 13927-2008 《工业阀门 压力试验》</w:t>
      </w:r>
      <w:r>
        <w:rPr>
          <w:rFonts w:hint="eastAsia" w:ascii="宋体" w:hAnsi="宋体" w:eastAsia="宋体" w:cs="宋体"/>
          <w:kern w:val="2"/>
          <w:sz w:val="21"/>
          <w:szCs w:val="21"/>
          <w:lang w:val="en-US" w:eastAsia="zh-CN" w:bidi="ar-SA"/>
        </w:rPr>
        <w:t>，</w:t>
      </w:r>
      <w:r>
        <w:rPr>
          <w:rFonts w:hint="eastAsia" w:ascii="宋体" w:hAnsi="宋体" w:eastAsia="宋体" w:cs="宋体"/>
          <w:kern w:val="2"/>
          <w:sz w:val="21"/>
          <w:szCs w:val="21"/>
          <w:lang w:val="en-US" w:eastAsia="zh-Hans" w:bidi="ar-SA"/>
        </w:rPr>
        <w:t>参照三个主要检测项：壳体试验压力，上密封试验压力，密封试验压力</w:t>
      </w:r>
      <w:r>
        <w:rPr>
          <w:rFonts w:hint="eastAsia" w:ascii="宋体" w:hAnsi="宋体" w:eastAsia="宋体" w:cs="宋体"/>
          <w:kern w:val="2"/>
          <w:sz w:val="21"/>
          <w:szCs w:val="21"/>
          <w:lang w:val="en-US" w:eastAsia="zh-CN" w:bidi="ar-SA"/>
        </w:rPr>
        <w:t>，</w:t>
      </w:r>
      <w:r>
        <w:rPr>
          <w:rFonts w:hint="eastAsia" w:ascii="宋体" w:hAnsi="宋体" w:eastAsia="宋体" w:cs="宋体"/>
          <w:kern w:val="2"/>
          <w:sz w:val="21"/>
          <w:szCs w:val="21"/>
          <w:lang w:val="en-US" w:eastAsia="zh-Hans" w:bidi="ar-SA"/>
        </w:rPr>
        <w:t>由国标的试验压力0.6MPa±0.05MPa提升至1.6MPa±0.05MPa，达到更高要求</w:t>
      </w:r>
      <w:r>
        <w:rPr>
          <w:rFonts w:hint="eastAsia" w:ascii="宋体" w:hAnsi="宋体" w:eastAsia="宋体" w:cs="宋体"/>
          <w:kern w:val="2"/>
          <w:sz w:val="21"/>
          <w:szCs w:val="21"/>
          <w:lang w:val="en-US" w:eastAsia="zh-CN" w:bidi="ar-SA"/>
        </w:rPr>
        <w:t>。</w:t>
      </w:r>
    </w:p>
    <w:p>
      <w:pPr>
        <w:pStyle w:val="8"/>
        <w:keepNext w:val="0"/>
        <w:keepLines w:val="0"/>
        <w:pageBreakBefore w:val="0"/>
        <w:numPr>
          <w:ilvl w:val="0"/>
          <w:numId w:val="0"/>
        </w:numPr>
        <w:kinsoku/>
        <w:wordWrap/>
        <w:overflowPunct/>
        <w:topLinePunct w:val="0"/>
        <w:bidi w:val="0"/>
        <w:adjustRightInd/>
        <w:snapToGrid/>
        <w:spacing w:line="360" w:lineRule="auto"/>
        <w:ind w:firstLine="210" w:firstLineChars="100"/>
        <w:textAlignment w:val="auto"/>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（3）</w:t>
      </w:r>
      <w:r>
        <w:rPr>
          <w:rFonts w:hint="eastAsia" w:ascii="宋体" w:hAnsi="宋体" w:eastAsia="宋体" w:cs="宋体"/>
          <w:sz w:val="21"/>
          <w:szCs w:val="21"/>
          <w:lang w:val="en-US" w:eastAsia="zh-Hans"/>
        </w:rPr>
        <w:t xml:space="preserve"> </w:t>
      </w:r>
      <w:r>
        <w:rPr>
          <w:rFonts w:hint="eastAsia" w:ascii="宋体" w:hAnsi="宋体" w:eastAsia="宋体" w:cs="宋体"/>
          <w:kern w:val="2"/>
          <w:sz w:val="21"/>
          <w:szCs w:val="21"/>
          <w:lang w:val="en-US" w:eastAsia="zh-CN" w:bidi="ar-SA"/>
        </w:rPr>
        <w:t>试验持续时间</w:t>
      </w:r>
      <w:r>
        <w:rPr>
          <w:rFonts w:hint="eastAsia" w:ascii="宋体" w:hAnsi="宋体" w:eastAsia="宋体" w:cs="宋体"/>
          <w:kern w:val="2"/>
          <w:sz w:val="21"/>
          <w:szCs w:val="21"/>
          <w:lang w:val="en-US" w:eastAsia="zh-Hans" w:bidi="ar-SA"/>
        </w:rPr>
        <w:t>参照国内标准</w:t>
      </w:r>
      <w:r>
        <w:rPr>
          <w:rFonts w:hint="eastAsia" w:ascii="宋体" w:hAnsi="宋体" w:eastAsia="宋体" w:cs="宋体"/>
          <w:kern w:val="2"/>
          <w:sz w:val="21"/>
          <w:szCs w:val="21"/>
          <w:lang w:val="en-US" w:eastAsia="zh-CN" w:bidi="ar-SA"/>
        </w:rPr>
        <w:t>GB/T 19672―2021《管线阀门 技术条件》，气阀的试验持续时间30 s提升至60 s，</w:t>
      </w:r>
      <w:r>
        <w:rPr>
          <w:rFonts w:hint="eastAsia" w:ascii="宋体" w:hAnsi="宋体" w:eastAsia="宋体" w:cs="宋体"/>
          <w:kern w:val="2"/>
          <w:sz w:val="21"/>
          <w:szCs w:val="21"/>
          <w:lang w:val="en-US" w:eastAsia="zh-Hans" w:bidi="ar-SA"/>
        </w:rPr>
        <w:t>与第一部分水龙时间一致</w:t>
      </w:r>
      <w:r>
        <w:rPr>
          <w:rFonts w:hint="eastAsia" w:ascii="宋体" w:hAnsi="宋体" w:eastAsia="宋体" w:cs="宋体"/>
          <w:kern w:val="2"/>
          <w:sz w:val="21"/>
          <w:szCs w:val="21"/>
          <w:lang w:val="en-US" w:eastAsia="zh-CN" w:bidi="ar-SA"/>
        </w:rPr>
        <w:t>。</w:t>
      </w:r>
    </w:p>
    <w:p>
      <w:pPr>
        <w:pStyle w:val="8"/>
        <w:keepNext w:val="0"/>
        <w:keepLines w:val="0"/>
        <w:pageBreakBefore w:val="0"/>
        <w:numPr>
          <w:ilvl w:val="0"/>
          <w:numId w:val="0"/>
        </w:numPr>
        <w:kinsoku/>
        <w:wordWrap/>
        <w:overflowPunct/>
        <w:topLinePunct w:val="0"/>
        <w:bidi w:val="0"/>
        <w:adjustRightInd/>
        <w:snapToGrid/>
        <w:spacing w:line="360" w:lineRule="auto"/>
        <w:ind w:firstLine="210" w:firstLineChars="100"/>
        <w:jc w:val="both"/>
        <w:textAlignment w:val="auto"/>
        <w:rPr>
          <w:rFonts w:hint="eastAsia" w:ascii="宋体" w:hAnsi="宋体" w:eastAsia="宋体" w:cs="宋体"/>
          <w:sz w:val="21"/>
          <w:szCs w:val="21"/>
          <w:lang w:val="en-US" w:eastAsia="zh-CN"/>
        </w:rPr>
      </w:pPr>
      <w:bookmarkStart w:id="0" w:name="_Toc2785"/>
      <w:r>
        <w:rPr>
          <w:rFonts w:hint="eastAsia" w:ascii="宋体" w:hAnsi="宋体" w:eastAsia="宋体" w:cs="宋体"/>
          <w:sz w:val="21"/>
          <w:szCs w:val="21"/>
          <w:lang w:val="en-US" w:eastAsia="zh-CN"/>
        </w:rPr>
        <w:t>（4）</w:t>
      </w:r>
      <w:r>
        <w:rPr>
          <w:rFonts w:hint="eastAsia" w:hAnsi="宋体" w:cs="宋体"/>
          <w:sz w:val="21"/>
          <w:szCs w:val="21"/>
          <w:lang w:val="en-US" w:eastAsia="zh-CN"/>
        </w:rPr>
        <w:t xml:space="preserve"> </w:t>
      </w:r>
      <w:r>
        <w:rPr>
          <w:rFonts w:hint="eastAsia" w:ascii="宋体" w:hAnsi="宋体" w:eastAsia="宋体" w:cs="宋体"/>
          <w:kern w:val="2"/>
          <w:sz w:val="21"/>
          <w:szCs w:val="21"/>
          <w:lang w:val="en-US" w:eastAsia="zh-CN" w:bidi="ar-SA"/>
        </w:rPr>
        <w:t>螺纹</w:t>
      </w:r>
      <w:r>
        <w:rPr>
          <w:rFonts w:hint="eastAsia" w:ascii="宋体" w:hAnsi="宋体" w:eastAsia="宋体" w:cs="宋体"/>
          <w:kern w:val="2"/>
          <w:sz w:val="21"/>
          <w:szCs w:val="21"/>
          <w:lang w:val="en-US" w:eastAsia="zh-Hans" w:bidi="ar-SA"/>
        </w:rPr>
        <w:t>参照国内标准GB/T 7306.1或GB/T 7306.2</w:t>
      </w:r>
      <w:r>
        <w:rPr>
          <w:rFonts w:hint="eastAsia" w:ascii="宋体" w:hAnsi="宋体" w:eastAsia="宋体" w:cs="宋体"/>
          <w:kern w:val="2"/>
          <w:sz w:val="21"/>
          <w:szCs w:val="21"/>
          <w:lang w:val="en-US" w:eastAsia="zh-CN" w:bidi="ar-SA"/>
        </w:rPr>
        <w:t>，气阀</w:t>
      </w:r>
      <w:r>
        <w:rPr>
          <w:rFonts w:hint="eastAsia" w:ascii="宋体" w:hAnsi="宋体" w:eastAsia="宋体" w:cs="宋体"/>
          <w:kern w:val="2"/>
          <w:sz w:val="21"/>
          <w:szCs w:val="21"/>
          <w:lang w:val="en-US" w:eastAsia="zh-Hans" w:bidi="ar-SA"/>
        </w:rPr>
        <w:t>采用连接螺纹</w:t>
      </w:r>
      <w:r>
        <w:rPr>
          <w:rFonts w:hint="eastAsia" w:ascii="宋体" w:hAnsi="宋体" w:eastAsia="宋体" w:cs="宋体"/>
          <w:kern w:val="2"/>
          <w:sz w:val="21"/>
          <w:szCs w:val="21"/>
          <w:lang w:val="en-US" w:eastAsia="zh-CN" w:bidi="ar-SA"/>
        </w:rPr>
        <w:t>，螺纹表面应光洁，不应有凹痕、断牙等明显缺陷。</w:t>
      </w:r>
      <w:bookmarkEnd w:id="0"/>
    </w:p>
    <w:p>
      <w:pPr>
        <w:pStyle w:val="8"/>
        <w:keepNext w:val="0"/>
        <w:keepLines w:val="0"/>
        <w:pageBreakBefore w:val="0"/>
        <w:numPr>
          <w:ilvl w:val="0"/>
          <w:numId w:val="0"/>
        </w:numPr>
        <w:kinsoku/>
        <w:wordWrap/>
        <w:overflowPunct/>
        <w:topLinePunct w:val="0"/>
        <w:bidi w:val="0"/>
        <w:adjustRightInd/>
        <w:snapToGrid/>
        <w:spacing w:line="360" w:lineRule="auto"/>
        <w:ind w:firstLine="210" w:firstLineChars="1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r>
        <w:rPr>
          <w:rFonts w:hint="eastAsia" w:ascii="宋体" w:hAnsi="宋体" w:eastAsia="宋体" w:cs="宋体"/>
          <w:sz w:val="21"/>
          <w:szCs w:val="21"/>
          <w:lang w:val="en-US" w:eastAsia="zh-Hans"/>
        </w:rPr>
        <w:t xml:space="preserve"> </w:t>
      </w:r>
      <w:r>
        <w:rPr>
          <w:rFonts w:hint="eastAsia" w:ascii="宋体" w:hAnsi="宋体" w:eastAsia="宋体" w:cs="宋体"/>
          <w:kern w:val="2"/>
          <w:sz w:val="21"/>
          <w:szCs w:val="21"/>
          <w:lang w:val="en-US" w:eastAsia="zh-Hans" w:bidi="ar-SA"/>
        </w:rPr>
        <w:t>表面耐腐蚀</w:t>
      </w:r>
      <w:r>
        <w:rPr>
          <w:rFonts w:hint="eastAsia" w:ascii="宋体" w:hAnsi="宋体" w:eastAsia="宋体" w:cs="宋体"/>
          <w:kern w:val="2"/>
          <w:sz w:val="21"/>
          <w:szCs w:val="21"/>
          <w:lang w:val="en-US" w:eastAsia="zh-CN" w:bidi="ar-SA"/>
        </w:rPr>
        <w:t>性</w:t>
      </w:r>
      <w:r>
        <w:rPr>
          <w:rFonts w:hint="eastAsia" w:ascii="宋体" w:hAnsi="宋体" w:eastAsia="宋体" w:cs="宋体"/>
          <w:kern w:val="2"/>
          <w:sz w:val="21"/>
          <w:szCs w:val="21"/>
          <w:lang w:val="en-US" w:eastAsia="zh-Hans" w:bidi="ar-SA"/>
        </w:rPr>
        <w:t>参照国内标准GB/T 10125―</w:t>
      </w:r>
      <w:r>
        <w:rPr>
          <w:rFonts w:hint="eastAsia" w:ascii="宋体" w:hAnsi="宋体" w:eastAsia="宋体" w:cs="宋体"/>
          <w:kern w:val="2"/>
          <w:sz w:val="21"/>
          <w:szCs w:val="21"/>
          <w:lang w:val="en-US" w:eastAsia="zh-CN" w:bidi="ar-SA"/>
        </w:rPr>
        <w:t>2012《</w:t>
      </w:r>
      <w:r>
        <w:rPr>
          <w:rFonts w:hint="eastAsia" w:ascii="宋体" w:hAnsi="宋体" w:eastAsia="宋体" w:cs="宋体"/>
          <w:kern w:val="2"/>
          <w:sz w:val="21"/>
          <w:szCs w:val="21"/>
          <w:lang w:val="en-US" w:eastAsia="zh-Hans" w:bidi="ar-SA"/>
        </w:rPr>
        <w:t>人造气氛腐蚀试验盐雾试验</w:t>
      </w:r>
      <w:r>
        <w:rPr>
          <w:rFonts w:hint="eastAsia" w:ascii="宋体" w:hAnsi="宋体" w:eastAsia="宋体" w:cs="宋体"/>
          <w:kern w:val="2"/>
          <w:sz w:val="21"/>
          <w:szCs w:val="21"/>
          <w:lang w:val="en-US" w:eastAsia="zh-CN" w:bidi="ar-SA"/>
        </w:rPr>
        <w:t>》，气阀</w:t>
      </w:r>
      <w:r>
        <w:rPr>
          <w:rFonts w:hint="eastAsia" w:ascii="宋体" w:hAnsi="宋体" w:eastAsia="宋体" w:cs="宋体"/>
          <w:kern w:val="2"/>
          <w:sz w:val="21"/>
          <w:szCs w:val="21"/>
          <w:lang w:val="en-US" w:eastAsia="zh-Hans" w:bidi="ar-SA"/>
        </w:rPr>
        <w:t>表面耐腐蚀</w:t>
      </w:r>
      <w:r>
        <w:rPr>
          <w:rFonts w:hint="eastAsia" w:ascii="宋体" w:hAnsi="宋体" w:eastAsia="宋体" w:cs="宋体"/>
          <w:kern w:val="2"/>
          <w:sz w:val="21"/>
          <w:szCs w:val="21"/>
          <w:lang w:val="en-US" w:eastAsia="zh-CN" w:bidi="ar-SA"/>
        </w:rPr>
        <w:t>性的试验应通过50种化学试剂的试验，</w:t>
      </w:r>
      <w:r>
        <w:rPr>
          <w:rFonts w:hint="eastAsia" w:ascii="宋体" w:hAnsi="宋体" w:eastAsia="宋体" w:cs="宋体"/>
          <w:kern w:val="2"/>
          <w:sz w:val="21"/>
          <w:szCs w:val="21"/>
          <w:lang w:val="en-US" w:eastAsia="zh-Hans" w:bidi="ar-SA"/>
        </w:rPr>
        <w:t>达到更高</w:t>
      </w:r>
      <w:r>
        <w:rPr>
          <w:rFonts w:hint="eastAsia" w:ascii="宋体" w:hAnsi="宋体" w:eastAsia="宋体" w:cs="宋体"/>
          <w:kern w:val="2"/>
          <w:sz w:val="21"/>
          <w:szCs w:val="21"/>
          <w:lang w:val="en-US" w:eastAsia="zh-CN" w:bidi="ar-SA"/>
        </w:rPr>
        <w:t>使用</w:t>
      </w:r>
      <w:r>
        <w:rPr>
          <w:rFonts w:hint="eastAsia" w:ascii="宋体" w:hAnsi="宋体" w:eastAsia="宋体" w:cs="宋体"/>
          <w:kern w:val="2"/>
          <w:sz w:val="21"/>
          <w:szCs w:val="21"/>
          <w:lang w:val="en-US" w:eastAsia="zh-Hans" w:bidi="ar-SA"/>
        </w:rPr>
        <w:t>要求</w:t>
      </w:r>
      <w:r>
        <w:rPr>
          <w:rFonts w:hint="eastAsia" w:ascii="宋体" w:hAnsi="宋体" w:eastAsia="宋体" w:cs="宋体"/>
          <w:kern w:val="2"/>
          <w:sz w:val="21"/>
          <w:szCs w:val="21"/>
          <w:lang w:val="en-US" w:eastAsia="zh-CN" w:bidi="ar-SA"/>
        </w:rPr>
        <w:t>。</w:t>
      </w:r>
    </w:p>
    <w:p>
      <w:pPr>
        <w:numPr>
          <w:ilvl w:val="0"/>
          <w:numId w:val="0"/>
        </w:numPr>
        <w:spacing w:line="360" w:lineRule="auto"/>
        <w:ind w:firstLine="210" w:firstLineChars="100"/>
        <w:jc w:val="left"/>
        <w:rPr>
          <w:rFonts w:hint="eastAsia" w:ascii="宋体" w:hAnsi="宋体" w:eastAsia="宋体" w:cs="宋体"/>
          <w:kern w:val="2"/>
          <w:sz w:val="21"/>
          <w:szCs w:val="21"/>
          <w:lang w:val="en-US" w:eastAsia="zh-CN" w:bidi="ar-SA"/>
        </w:rPr>
      </w:pPr>
      <w:bookmarkStart w:id="1" w:name="_Toc4973"/>
      <w:r>
        <w:rPr>
          <w:rFonts w:hint="eastAsia" w:ascii="宋体" w:hAnsi="宋体" w:eastAsia="宋体" w:cs="宋体"/>
          <w:sz w:val="21"/>
          <w:szCs w:val="21"/>
          <w:lang w:val="en-US" w:eastAsia="zh-CN"/>
        </w:rPr>
        <w:t>（6）</w:t>
      </w:r>
      <w:r>
        <w:rPr>
          <w:rFonts w:hint="eastAsia" w:ascii="宋体" w:hAnsi="宋体" w:eastAsia="宋体" w:cs="宋体"/>
          <w:sz w:val="21"/>
          <w:szCs w:val="21"/>
          <w:lang w:val="en-US" w:eastAsia="zh-Hans"/>
        </w:rPr>
        <w:t xml:space="preserve"> </w:t>
      </w:r>
      <w:r>
        <w:rPr>
          <w:rFonts w:hint="eastAsia" w:ascii="宋体" w:hAnsi="宋体" w:eastAsia="宋体" w:cs="宋体"/>
          <w:kern w:val="2"/>
          <w:sz w:val="21"/>
          <w:szCs w:val="21"/>
          <w:lang w:val="en-US" w:eastAsia="zh-CN" w:bidi="ar-SA"/>
        </w:rPr>
        <w:t>涂层附着强度</w:t>
      </w:r>
      <w:r>
        <w:rPr>
          <w:rFonts w:hint="eastAsia" w:ascii="宋体" w:hAnsi="宋体" w:eastAsia="宋体" w:cs="宋体"/>
          <w:kern w:val="2"/>
          <w:sz w:val="21"/>
          <w:szCs w:val="21"/>
          <w:lang w:val="en-US" w:eastAsia="zh-Hans" w:bidi="ar-SA"/>
        </w:rPr>
        <w:t>参照国内标准</w:t>
      </w:r>
      <w:r>
        <w:rPr>
          <w:rFonts w:hint="eastAsia" w:ascii="宋体" w:hAnsi="宋体" w:eastAsia="宋体" w:cs="宋体"/>
          <w:kern w:val="2"/>
          <w:sz w:val="21"/>
          <w:szCs w:val="21"/>
          <w:lang w:val="en-US" w:eastAsia="zh-CN" w:bidi="ar-SA"/>
        </w:rPr>
        <w:t>GB/T 5270―2005 《金属基体上的金属覆盖层电沉积和化学沉积层附着强度试验方法评述》</w:t>
      </w:r>
      <w:r>
        <w:rPr>
          <w:rFonts w:hint="eastAsia" w:ascii="宋体" w:hAnsi="宋体" w:eastAsia="宋体" w:cs="宋体"/>
          <w:kern w:val="2"/>
          <w:sz w:val="21"/>
          <w:szCs w:val="21"/>
          <w:lang w:val="en-US" w:eastAsia="zh-Hans" w:bidi="ar-SA"/>
        </w:rPr>
        <w:t>，</w:t>
      </w:r>
      <w:r>
        <w:rPr>
          <w:rFonts w:hint="eastAsia" w:ascii="宋体" w:hAnsi="宋体" w:eastAsia="宋体" w:cs="宋体"/>
          <w:kern w:val="2"/>
          <w:sz w:val="21"/>
          <w:szCs w:val="21"/>
          <w:lang w:val="en-US" w:eastAsia="zh-CN" w:bidi="ar-SA"/>
        </w:rPr>
        <w:t>气阀涂层附着强度</w:t>
      </w:r>
      <w:bookmarkEnd w:id="1"/>
      <w:r>
        <w:rPr>
          <w:rFonts w:hint="eastAsia" w:ascii="宋体" w:hAnsi="宋体" w:eastAsia="宋体" w:cs="宋体"/>
          <w:kern w:val="2"/>
          <w:sz w:val="21"/>
          <w:szCs w:val="21"/>
          <w:lang w:val="en-US" w:eastAsia="zh-CN" w:bidi="ar-SA"/>
        </w:rPr>
        <w:t>进行热震试验后，不应出现裂纹、起皮或脱落现象。</w:t>
      </w:r>
    </w:p>
    <w:p>
      <w:pPr>
        <w:numPr>
          <w:ilvl w:val="0"/>
          <w:numId w:val="0"/>
        </w:numPr>
        <w:spacing w:line="360" w:lineRule="auto"/>
        <w:ind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(7)</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 xml:space="preserve"> 耐化学试剂性能：能耐50种化学试剂测试，测试结果应不大于两个3级（涂层出现起坑、凹陷、凸起或侵蚀等明显或剧烈的损害）。</w:t>
      </w:r>
    </w:p>
    <w:p>
      <w:pPr>
        <w:numPr>
          <w:ilvl w:val="0"/>
          <w:numId w:val="0"/>
        </w:numPr>
        <w:spacing w:line="360" w:lineRule="auto"/>
        <w:ind w:firstLine="210" w:firstLineChars="1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50种化学试剂的选定参展美国科学仪器设备实验室家具协会（SEFA）中规定的47种试剂并结合自身产品特性，最终确定50种化学试剂。</w:t>
      </w:r>
    </w:p>
    <w:p>
      <w:pPr>
        <w:pStyle w:val="8"/>
        <w:keepNext w:val="0"/>
        <w:keepLines w:val="0"/>
        <w:pageBreakBefore w:val="0"/>
        <w:numPr>
          <w:ilvl w:val="0"/>
          <w:numId w:val="5"/>
        </w:numPr>
        <w:kinsoku/>
        <w:wordWrap/>
        <w:overflowPunct/>
        <w:topLinePunct w:val="0"/>
        <w:bidi w:val="0"/>
        <w:adjustRightInd/>
        <w:snapToGrid/>
        <w:spacing w:line="360" w:lineRule="auto"/>
        <w:ind w:firstLine="210" w:firstLineChars="100"/>
        <w:textAlignment w:val="auto"/>
        <w:rPr>
          <w:rFonts w:hint="eastAsia" w:ascii="宋体" w:hAnsi="宋体" w:eastAsia="宋体" w:cs="宋体"/>
          <w:sz w:val="21"/>
          <w:szCs w:val="21"/>
          <w:shd w:val="clear" w:color="auto" w:fill="FFFFFF"/>
          <w:lang w:val="en-US" w:eastAsia="zh-CN"/>
        </w:rPr>
      </w:pPr>
      <w:r>
        <w:rPr>
          <w:rFonts w:hint="eastAsia" w:ascii="宋体" w:hAnsi="宋体" w:eastAsia="宋体" w:cs="宋体"/>
          <w:sz w:val="21"/>
          <w:szCs w:val="21"/>
          <w:lang w:val="en-US" w:eastAsia="zh-Hans"/>
        </w:rPr>
        <w:t>参照国内标</w:t>
      </w:r>
      <w:r>
        <w:rPr>
          <w:rFonts w:hint="eastAsia" w:ascii="宋体" w:hAnsi="宋体" w:eastAsia="宋体" w:cs="宋体"/>
          <w:kern w:val="2"/>
          <w:sz w:val="21"/>
          <w:szCs w:val="21"/>
          <w:lang w:val="en-US" w:eastAsia="zh-Hans" w:bidi="ar-SA"/>
        </w:rPr>
        <w:t>准</w:t>
      </w:r>
      <w:r>
        <w:rPr>
          <w:rFonts w:hint="eastAsia" w:ascii="宋体" w:hAnsi="宋体" w:eastAsia="宋体" w:cs="宋体"/>
          <w:kern w:val="2"/>
          <w:sz w:val="21"/>
          <w:szCs w:val="21"/>
          <w:lang w:val="en-US" w:eastAsia="zh-CN" w:bidi="ar-SA"/>
        </w:rPr>
        <w:t>GB/T 19672―2021《管线阀门 技术条件》，气阀配置的手柄在最大压差条件时，最大操作力应不大于360N,应以顺时针方向转动手轮为关闭方向。</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b w:val="0"/>
          <w:bCs w:val="0"/>
          <w:i w:val="0"/>
          <w:iCs w:val="0"/>
          <w:color w:val="auto"/>
          <w:sz w:val="21"/>
          <w:szCs w:val="21"/>
          <w:lang w:val="en-US" w:eastAsia="zh-Hans"/>
        </w:rPr>
        <w:t>五、</w:t>
      </w:r>
      <w:r>
        <w:rPr>
          <w:rFonts w:hint="eastAsia" w:ascii="宋体" w:hAnsi="宋体" w:eastAsia="宋体" w:cs="宋体"/>
          <w:sz w:val="21"/>
          <w:szCs w:val="21"/>
          <w:lang w:val="en-US" w:eastAsia="zh-CN"/>
        </w:rPr>
        <w:t>主要试验或验证的分析报告</w:t>
      </w:r>
    </w:p>
    <w:p>
      <w:pPr>
        <w:pStyle w:val="8"/>
        <w:keepNext w:val="0"/>
        <w:keepLines w:val="0"/>
        <w:pageBreakBefore w:val="0"/>
        <w:numPr>
          <w:ilvl w:val="0"/>
          <w:numId w:val="0"/>
        </w:numPr>
        <w:kinsoku/>
        <w:wordWrap/>
        <w:overflowPunct/>
        <w:topLinePunct w:val="0"/>
        <w:bidi w:val="0"/>
        <w:adjustRightInd/>
        <w:snapToGrid/>
        <w:spacing w:line="360" w:lineRule="auto"/>
        <w:ind w:firstLine="420" w:firstLineChars="200"/>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Hans"/>
        </w:rPr>
        <w:t>本标准主要对</w:t>
      </w:r>
      <w:r>
        <w:rPr>
          <w:rFonts w:hint="eastAsia" w:ascii="宋体" w:hAnsi="宋体" w:eastAsia="宋体" w:cs="宋体"/>
          <w:sz w:val="21"/>
          <w:szCs w:val="21"/>
          <w:lang w:val="en-US" w:eastAsia="zh-CN"/>
        </w:rPr>
        <w:t>气阀</w:t>
      </w:r>
      <w:r>
        <w:rPr>
          <w:rFonts w:hint="eastAsia" w:ascii="宋体" w:hAnsi="宋体" w:eastAsia="宋体" w:cs="宋体"/>
          <w:sz w:val="21"/>
          <w:szCs w:val="21"/>
          <w:lang w:val="en-US" w:eastAsia="zh-Hans"/>
        </w:rPr>
        <w:t>的出厂前检测进行规定，试验内容参照国家标准</w:t>
      </w:r>
      <w:r>
        <w:rPr>
          <w:rFonts w:hint="eastAsia" w:ascii="宋体" w:hAnsi="宋体" w:eastAsia="宋体" w:cs="宋体"/>
          <w:sz w:val="21"/>
          <w:szCs w:val="21"/>
          <w:lang w:val="en-US" w:eastAsia="zh-CN"/>
        </w:rPr>
        <w:t>GB/T 13927-2008 《工业阀门 压力试验》参照的三个主要检测项：壳体试验压力，上密封试验压力，密封试验压力，由国标的试验压力0.6MPa±0.05MPa提升至1.6MPa±0.05MPa，</w:t>
      </w:r>
      <w:r>
        <w:rPr>
          <w:rFonts w:hint="eastAsia" w:ascii="宋体" w:hAnsi="宋体" w:eastAsia="宋体" w:cs="宋体"/>
          <w:sz w:val="21"/>
          <w:szCs w:val="21"/>
          <w:lang w:val="en-US" w:eastAsia="zh-Hans"/>
        </w:rPr>
        <w:t>与第一部分水龙时间一致，</w:t>
      </w:r>
      <w:r>
        <w:rPr>
          <w:rFonts w:hint="eastAsia" w:ascii="宋体" w:hAnsi="宋体" w:eastAsia="宋体" w:cs="宋体"/>
          <w:sz w:val="21"/>
          <w:szCs w:val="21"/>
          <w:lang w:val="en-US" w:eastAsia="zh-CN"/>
        </w:rPr>
        <w:t>达到更高要求。</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六、与现行法律、法规、标准的关系</w:t>
      </w:r>
    </w:p>
    <w:tbl>
      <w:tblPr>
        <w:tblStyle w:val="5"/>
        <w:tblW w:w="9098" w:type="dxa"/>
        <w:tblInd w:w="-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
        <w:gridCol w:w="1250"/>
        <w:gridCol w:w="1850"/>
        <w:gridCol w:w="5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序号</w:t>
            </w:r>
          </w:p>
        </w:tc>
        <w:tc>
          <w:tcPr>
            <w:tcW w:w="12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标准标号</w:t>
            </w:r>
          </w:p>
        </w:tc>
        <w:tc>
          <w:tcPr>
            <w:tcW w:w="18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标准名称</w:t>
            </w:r>
          </w:p>
        </w:tc>
        <w:tc>
          <w:tcPr>
            <w:tcW w:w="5412"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Hans"/>
              </w:rPr>
            </w:pPr>
            <w:r>
              <w:rPr>
                <w:rFonts w:hint="eastAsia" w:ascii="宋体" w:hAnsi="宋体" w:eastAsia="宋体" w:cs="宋体"/>
                <w:sz w:val="18"/>
                <w:szCs w:val="18"/>
                <w:lang w:val="en-US" w:eastAsia="zh-Hans"/>
              </w:rPr>
              <w:t>与本标准的关系分析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1</w:t>
            </w:r>
          </w:p>
        </w:tc>
        <w:tc>
          <w:tcPr>
            <w:tcW w:w="12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eastAsia="zh-CN"/>
              </w:rPr>
              <w:t>GB/T 13927-2008</w:t>
            </w:r>
          </w:p>
        </w:tc>
        <w:tc>
          <w:tcPr>
            <w:tcW w:w="18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工业阀门 压力试验</w:t>
            </w: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p>
        </w:tc>
        <w:tc>
          <w:tcPr>
            <w:tcW w:w="5412" w:type="dxa"/>
            <w:vAlign w:val="center"/>
          </w:tcPr>
          <w:p>
            <w:pPr>
              <w:pStyle w:val="8"/>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Hans"/>
              </w:rPr>
              <w:t>参照国家标准</w:t>
            </w:r>
            <w:r>
              <w:rPr>
                <w:rFonts w:hint="eastAsia" w:ascii="宋体" w:hAnsi="宋体" w:eastAsia="宋体" w:cs="宋体"/>
                <w:sz w:val="18"/>
                <w:szCs w:val="18"/>
                <w:lang w:eastAsia="zh-CN"/>
              </w:rPr>
              <w:t>GB/T 13927-2008 《工业阀门 压力试验》</w:t>
            </w:r>
            <w:r>
              <w:rPr>
                <w:rFonts w:hint="eastAsia" w:ascii="宋体" w:hAnsi="宋体" w:eastAsia="宋体" w:cs="宋体"/>
                <w:sz w:val="18"/>
                <w:szCs w:val="18"/>
                <w:lang w:eastAsia="zh-Hans"/>
              </w:rPr>
              <w:t>，</w:t>
            </w:r>
            <w:r>
              <w:rPr>
                <w:rFonts w:hint="eastAsia" w:ascii="宋体" w:hAnsi="宋体" w:eastAsia="宋体" w:cs="宋体"/>
                <w:sz w:val="18"/>
                <w:szCs w:val="18"/>
                <w:lang w:val="en-US" w:eastAsia="zh-Hans"/>
              </w:rPr>
              <w:t>进行气阀的壳体试验、密封试验和上密封试验</w:t>
            </w:r>
            <w:r>
              <w:rPr>
                <w:rFonts w:hint="eastAsia" w:ascii="宋体" w:hAnsi="宋体" w:eastAsia="宋体" w:cs="宋体"/>
                <w:sz w:val="18"/>
                <w:szCs w:val="18"/>
                <w:lang w:val="en-US" w:eastAsia="zh-CN"/>
              </w:rPr>
              <w:t>，本标准则针对试验压力0.6MPa±0.05MPa提升至1.6MPa±0.05MPa，</w:t>
            </w:r>
            <w:r>
              <w:rPr>
                <w:rFonts w:hint="eastAsia" w:ascii="宋体" w:hAnsi="宋体" w:eastAsia="宋体" w:cs="宋体"/>
                <w:sz w:val="18"/>
                <w:szCs w:val="18"/>
                <w:lang w:val="en-US" w:eastAsia="zh-Hans"/>
              </w:rPr>
              <w:t>是阀门在 20℃时的允许最大工作压力的 1.1倍。试验结果不应有结构损伤，不允许有可见渗漏，应无气泡漏出。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2</w:t>
            </w:r>
          </w:p>
        </w:tc>
        <w:tc>
          <w:tcPr>
            <w:tcW w:w="12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GB/T 10125-2012</w:t>
            </w:r>
          </w:p>
        </w:tc>
        <w:tc>
          <w:tcPr>
            <w:tcW w:w="18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人造气氛腐蚀试验盐雾试验</w:t>
            </w:r>
          </w:p>
        </w:tc>
        <w:tc>
          <w:tcPr>
            <w:tcW w:w="5412" w:type="dxa"/>
            <w:vAlign w:val="center"/>
          </w:tcPr>
          <w:p>
            <w:pPr>
              <w:pStyle w:val="8"/>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sz w:val="18"/>
                <w:szCs w:val="18"/>
                <w:lang w:val="en-US" w:eastAsia="zh-Hans"/>
              </w:rPr>
            </w:pPr>
            <w:r>
              <w:rPr>
                <w:rFonts w:hint="eastAsia" w:ascii="宋体" w:hAnsi="宋体" w:eastAsia="宋体" w:cs="宋体"/>
                <w:sz w:val="18"/>
                <w:szCs w:val="18"/>
              </w:rPr>
              <w:t>对需要进行盐雾试验的产品进行检测规定，本标准</w:t>
            </w:r>
            <w:r>
              <w:rPr>
                <w:rFonts w:hint="eastAsia" w:ascii="宋体" w:hAnsi="宋体" w:eastAsia="宋体" w:cs="宋体"/>
                <w:sz w:val="18"/>
                <w:szCs w:val="18"/>
                <w:lang w:eastAsia="zh-CN"/>
              </w:rPr>
              <w:t>参考</w:t>
            </w:r>
            <w:r>
              <w:rPr>
                <w:rFonts w:hint="eastAsia" w:ascii="宋体" w:hAnsi="宋体" w:eastAsia="宋体" w:cs="宋体"/>
                <w:sz w:val="18"/>
                <w:szCs w:val="18"/>
              </w:rPr>
              <w:t>了其对金属件的试验标准。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eastAsia="zh-CN"/>
              </w:rPr>
            </w:pPr>
            <w:r>
              <w:rPr>
                <w:rFonts w:hint="eastAsia" w:ascii="宋体" w:hAnsi="宋体" w:eastAsia="宋体" w:cs="宋体"/>
                <w:sz w:val="18"/>
                <w:szCs w:val="18"/>
                <w:lang w:eastAsia="zh-CN"/>
              </w:rPr>
              <w:t>3</w:t>
            </w:r>
          </w:p>
        </w:tc>
        <w:tc>
          <w:tcPr>
            <w:tcW w:w="12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GB/T 7306.1</w:t>
            </w:r>
          </w:p>
        </w:tc>
        <w:tc>
          <w:tcPr>
            <w:tcW w:w="18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rPr>
              <w:t>55°密封管螺纹第1部分：圆柱内螺纹与圆锥外螺纹</w:t>
            </w:r>
          </w:p>
        </w:tc>
        <w:tc>
          <w:tcPr>
            <w:tcW w:w="5412" w:type="dxa"/>
            <w:vAlign w:val="center"/>
          </w:tcPr>
          <w:p>
            <w:pPr>
              <w:pStyle w:val="8"/>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sz w:val="18"/>
                <w:szCs w:val="18"/>
                <w:lang w:val="en-US" w:eastAsia="zh-Hans"/>
              </w:rPr>
            </w:pPr>
            <w:r>
              <w:rPr>
                <w:rFonts w:hint="eastAsia" w:ascii="宋体" w:hAnsi="宋体" w:eastAsia="宋体" w:cs="宋体"/>
                <w:sz w:val="18"/>
                <w:szCs w:val="18"/>
              </w:rPr>
              <w:t>对圆柱体与圆锥体产品的螺纹进行规定，本标准</w:t>
            </w:r>
            <w:r>
              <w:rPr>
                <w:rFonts w:hint="eastAsia" w:ascii="宋体" w:hAnsi="宋体" w:eastAsia="宋体" w:cs="宋体"/>
                <w:sz w:val="18"/>
                <w:szCs w:val="18"/>
                <w:lang w:eastAsia="zh-CN"/>
              </w:rPr>
              <w:t>参考</w:t>
            </w:r>
            <w:r>
              <w:rPr>
                <w:rFonts w:hint="eastAsia" w:ascii="宋体" w:hAnsi="宋体" w:eastAsia="宋体" w:cs="宋体"/>
                <w:sz w:val="18"/>
                <w:szCs w:val="18"/>
              </w:rPr>
              <w:t>了圆柱体部分的螺纹要求。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6"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4</w:t>
            </w:r>
          </w:p>
        </w:tc>
        <w:tc>
          <w:tcPr>
            <w:tcW w:w="12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GB/T </w:t>
            </w:r>
          </w:p>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19672―2021</w:t>
            </w:r>
          </w:p>
        </w:tc>
        <w:tc>
          <w:tcPr>
            <w:tcW w:w="1850" w:type="dxa"/>
            <w:vAlign w:val="center"/>
          </w:tcPr>
          <w:p>
            <w:pPr>
              <w:pStyle w:val="8"/>
              <w:keepNext w:val="0"/>
              <w:keepLines w:val="0"/>
              <w:pageBreakBefore w:val="0"/>
              <w:kinsoku/>
              <w:wordWrap/>
              <w:overflowPunct/>
              <w:topLinePunct w:val="0"/>
              <w:bidi w:val="0"/>
              <w:adjustRightInd/>
              <w:snapToGrid/>
              <w:spacing w:line="360" w:lineRule="auto"/>
              <w:ind w:firstLine="0" w:firstLineChars="0"/>
              <w:jc w:val="center"/>
              <w:textAlignment w:val="auto"/>
              <w:rPr>
                <w:rFonts w:hint="eastAsia" w:ascii="宋体" w:hAnsi="宋体" w:eastAsia="宋体" w:cs="宋体"/>
                <w:sz w:val="18"/>
                <w:szCs w:val="18"/>
              </w:rPr>
            </w:pPr>
            <w:r>
              <w:rPr>
                <w:rFonts w:hint="eastAsia" w:ascii="宋体" w:hAnsi="宋体" w:eastAsia="宋体" w:cs="宋体"/>
                <w:sz w:val="18"/>
                <w:szCs w:val="18"/>
                <w:lang w:val="en-US" w:eastAsia="zh-CN"/>
              </w:rPr>
              <w:t>管线阀门 技术条件</w:t>
            </w:r>
          </w:p>
        </w:tc>
        <w:tc>
          <w:tcPr>
            <w:tcW w:w="5412" w:type="dxa"/>
            <w:vAlign w:val="center"/>
          </w:tcPr>
          <w:p>
            <w:pPr>
              <w:pStyle w:val="8"/>
              <w:keepNext w:val="0"/>
              <w:keepLines w:val="0"/>
              <w:pageBreakBefore w:val="0"/>
              <w:widowControl/>
              <w:kinsoku/>
              <w:wordWrap/>
              <w:overflowPunct/>
              <w:topLinePunct w:val="0"/>
              <w:autoSpaceDE w:val="0"/>
              <w:autoSpaceDN w:val="0"/>
              <w:bidi w:val="0"/>
              <w:adjustRightInd/>
              <w:snapToGrid/>
              <w:spacing w:line="240" w:lineRule="auto"/>
              <w:ind w:firstLine="0" w:firstLineChars="0"/>
              <w:jc w:val="left"/>
              <w:textAlignment w:val="auto"/>
              <w:rPr>
                <w:rFonts w:hint="eastAsia" w:ascii="宋体" w:hAnsi="宋体" w:eastAsia="宋体" w:cs="宋体"/>
                <w:sz w:val="18"/>
                <w:szCs w:val="18"/>
                <w:lang w:eastAsia="zh-CN"/>
              </w:rPr>
            </w:pPr>
            <w:r>
              <w:rPr>
                <w:rFonts w:hint="eastAsia" w:ascii="宋体" w:hAnsi="宋体" w:eastAsia="宋体" w:cs="宋体"/>
                <w:sz w:val="18"/>
                <w:szCs w:val="18"/>
                <w:lang w:val="en-US" w:eastAsia="zh-Hans"/>
              </w:rPr>
              <w:t>参照国家标准</w:t>
            </w:r>
            <w:r>
              <w:rPr>
                <w:rFonts w:hint="eastAsia" w:ascii="宋体" w:hAnsi="宋体" w:eastAsia="宋体" w:cs="宋体"/>
                <w:sz w:val="18"/>
                <w:szCs w:val="18"/>
                <w:lang w:val="en-US" w:eastAsia="zh-CN"/>
              </w:rPr>
              <w:t>试验持续时间30s,本标准则针对</w:t>
            </w:r>
            <w:r>
              <w:rPr>
                <w:rFonts w:hint="eastAsia" w:ascii="宋体" w:hAnsi="宋体" w:eastAsia="宋体" w:cs="宋体"/>
                <w:sz w:val="18"/>
                <w:szCs w:val="18"/>
                <w:lang w:val="en-US" w:eastAsia="zh-Hans"/>
              </w:rPr>
              <w:t>试验持续时间</w:t>
            </w:r>
            <w:r>
              <w:rPr>
                <w:rFonts w:hint="eastAsia" w:ascii="宋体" w:hAnsi="宋体" w:eastAsia="宋体" w:cs="宋体"/>
                <w:sz w:val="18"/>
                <w:szCs w:val="18"/>
                <w:lang w:val="en-US" w:eastAsia="zh-CN"/>
              </w:rPr>
              <w:t>提高至</w:t>
            </w:r>
            <w:r>
              <w:rPr>
                <w:rFonts w:hint="eastAsia" w:ascii="宋体" w:hAnsi="宋体" w:eastAsia="宋体" w:cs="宋体"/>
                <w:sz w:val="18"/>
                <w:szCs w:val="18"/>
                <w:lang w:val="en-US" w:eastAsia="zh-Hans"/>
              </w:rPr>
              <w:t>60</w:t>
            </w:r>
            <w:r>
              <w:rPr>
                <w:rFonts w:hint="eastAsia" w:ascii="宋体" w:hAnsi="宋体" w:eastAsia="宋体" w:cs="宋体"/>
                <w:sz w:val="18"/>
                <w:szCs w:val="18"/>
                <w:lang w:val="en-US" w:eastAsia="zh-CN"/>
              </w:rPr>
              <w:t xml:space="preserve"> </w:t>
            </w:r>
            <w:r>
              <w:rPr>
                <w:rFonts w:hint="eastAsia" w:ascii="宋体" w:hAnsi="宋体" w:eastAsia="宋体" w:cs="宋体"/>
                <w:sz w:val="18"/>
                <w:szCs w:val="18"/>
                <w:lang w:val="en-US" w:eastAsia="zh-Hans"/>
              </w:rPr>
              <w:t>s</w:t>
            </w:r>
            <w:r>
              <w:rPr>
                <w:rFonts w:hint="eastAsia" w:ascii="宋体" w:hAnsi="宋体" w:eastAsia="宋体" w:cs="宋体"/>
                <w:sz w:val="18"/>
                <w:szCs w:val="18"/>
                <w:lang w:val="en-US" w:eastAsia="zh-CN"/>
              </w:rPr>
              <w:t>。</w:t>
            </w:r>
          </w:p>
        </w:tc>
      </w:tr>
    </w:tbl>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b w:val="0"/>
          <w:bCs w:val="0"/>
          <w:color w:val="333333"/>
          <w:kern w:val="2"/>
          <w:sz w:val="21"/>
          <w:szCs w:val="21"/>
          <w:shd w:val="clear" w:color="auto" w:fill="FFFFFF"/>
          <w:lang w:val="en-US" w:eastAsia="zh-Hans" w:bidi="ar-SA"/>
        </w:rPr>
      </w:pP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七、</w:t>
      </w:r>
      <w:r>
        <w:rPr>
          <w:rFonts w:hint="eastAsia" w:ascii="宋体" w:hAnsi="宋体" w:eastAsia="宋体" w:cs="宋体"/>
          <w:sz w:val="21"/>
          <w:szCs w:val="21"/>
          <w:lang w:val="en-US" w:eastAsia="zh-CN"/>
        </w:rPr>
        <w:t>实施标准的要求和措施建议</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7.1 本标准应作为今后实验室</w:t>
      </w:r>
      <w:r>
        <w:rPr>
          <w:rFonts w:hint="eastAsia" w:ascii="宋体" w:hAnsi="宋体" w:eastAsia="宋体" w:cs="宋体"/>
          <w:sz w:val="21"/>
          <w:szCs w:val="21"/>
          <w:lang w:val="en-US" w:eastAsia="zh-Hans"/>
        </w:rPr>
        <w:t>气阀</w:t>
      </w:r>
      <w:r>
        <w:rPr>
          <w:rFonts w:hint="eastAsia" w:ascii="宋体" w:hAnsi="宋体" w:eastAsia="宋体" w:cs="宋体"/>
          <w:sz w:val="21"/>
          <w:szCs w:val="21"/>
          <w:lang w:val="en-US" w:eastAsia="zh-CN"/>
        </w:rPr>
        <w:t>生产、使用、测试、的重要技术依据，并应纳入到相关文件中。</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7.2 各单位和企业在采纳本标准时，以满足生产需求为主，可对本标准进行适当引用。</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7.3 建议直接公开发行，广泛宣传，可以将该标准直接发布到中国标准网上。</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Hans"/>
        </w:rPr>
      </w:pPr>
      <w:r>
        <w:rPr>
          <w:rFonts w:hint="eastAsia" w:ascii="宋体" w:hAnsi="宋体" w:eastAsia="宋体" w:cs="宋体"/>
          <w:sz w:val="21"/>
          <w:szCs w:val="21"/>
          <w:lang w:val="en-US" w:eastAsia="zh-CN"/>
        </w:rPr>
        <w:t>7.4 在本标准实施过程中，编制单位应随时收集用户意见，跟踪国际国外标准修订动态，本标准及时进行更新</w:t>
      </w:r>
      <w:r>
        <w:rPr>
          <w:rFonts w:hint="eastAsia" w:ascii="宋体" w:hAnsi="宋体" w:eastAsia="宋体" w:cs="宋体"/>
          <w:sz w:val="21"/>
          <w:szCs w:val="21"/>
          <w:lang w:val="en-US" w:eastAsia="zh-Hans"/>
        </w:rPr>
        <w:t>，</w:t>
      </w:r>
      <w:r>
        <w:rPr>
          <w:rFonts w:hint="eastAsia" w:ascii="宋体" w:hAnsi="宋体" w:eastAsia="宋体" w:cs="宋体"/>
          <w:sz w:val="21"/>
          <w:szCs w:val="21"/>
          <w:lang w:val="en-US" w:eastAsia="zh-CN"/>
        </w:rPr>
        <w:t>保证国内标准的适用性、国内国际标准的一致性</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b w:val="0"/>
          <w:bCs w:val="0"/>
          <w:color w:val="333333"/>
          <w:kern w:val="2"/>
          <w:sz w:val="21"/>
          <w:szCs w:val="21"/>
          <w:shd w:val="clear" w:color="auto" w:fill="FFFFFF"/>
          <w:lang w:val="en-US" w:eastAsia="zh-CN" w:bidi="ar-SA"/>
        </w:rPr>
      </w:pPr>
      <w:r>
        <w:rPr>
          <w:rFonts w:hint="eastAsia" w:ascii="宋体" w:hAnsi="宋体" w:eastAsia="宋体" w:cs="宋体"/>
          <w:b w:val="0"/>
          <w:bCs w:val="0"/>
          <w:color w:val="333333"/>
          <w:kern w:val="2"/>
          <w:sz w:val="21"/>
          <w:szCs w:val="21"/>
          <w:shd w:val="clear" w:color="auto" w:fill="FFFFFF"/>
          <w:lang w:val="en-US" w:eastAsia="zh-Hans" w:bidi="ar-SA"/>
        </w:rPr>
        <w:t>八、</w:t>
      </w:r>
      <w:r>
        <w:rPr>
          <w:rFonts w:hint="eastAsia" w:ascii="宋体" w:hAnsi="宋体" w:eastAsia="宋体" w:cs="宋体"/>
          <w:sz w:val="21"/>
          <w:szCs w:val="21"/>
          <w:lang w:val="en-US" w:eastAsia="zh-CN"/>
        </w:rPr>
        <w:t>修改或废止现行专项标</w:t>
      </w:r>
      <w:r>
        <w:rPr>
          <w:rFonts w:hint="eastAsia" w:ascii="宋体" w:hAnsi="宋体" w:eastAsia="宋体" w:cs="宋体"/>
          <w:b w:val="0"/>
          <w:bCs w:val="0"/>
          <w:color w:val="333333"/>
          <w:kern w:val="2"/>
          <w:sz w:val="21"/>
          <w:szCs w:val="21"/>
          <w:shd w:val="clear" w:color="auto" w:fill="FFFFFF"/>
          <w:lang w:val="en-US" w:eastAsia="zh-CN" w:bidi="ar-SA"/>
        </w:rPr>
        <w:t>准的建议</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b w:val="0"/>
          <w:bCs w:val="0"/>
          <w:color w:val="333333"/>
          <w:kern w:val="2"/>
          <w:sz w:val="21"/>
          <w:szCs w:val="21"/>
          <w:shd w:val="clear" w:color="auto" w:fill="FFFFFF"/>
          <w:lang w:val="en-US" w:eastAsia="zh-Hans" w:bidi="ar-SA"/>
        </w:rPr>
      </w:pPr>
      <w:r>
        <w:rPr>
          <w:rFonts w:hint="eastAsia" w:ascii="宋体" w:hAnsi="宋体" w:eastAsia="宋体" w:cs="宋体"/>
          <w:b w:val="0"/>
          <w:bCs w:val="0"/>
          <w:color w:val="333333"/>
          <w:kern w:val="2"/>
          <w:sz w:val="21"/>
          <w:szCs w:val="21"/>
          <w:shd w:val="clear" w:color="auto" w:fill="FFFFFF"/>
          <w:lang w:val="en-US" w:eastAsia="zh-Hans" w:bidi="ar-SA"/>
        </w:rPr>
        <w:t>无</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b w:val="0"/>
          <w:bCs w:val="0"/>
          <w:color w:val="333333"/>
          <w:kern w:val="2"/>
          <w:sz w:val="21"/>
          <w:szCs w:val="21"/>
          <w:shd w:val="clear" w:color="auto" w:fill="FFFFFF"/>
          <w:lang w:val="en-US" w:eastAsia="zh-Hans" w:bidi="ar-SA"/>
        </w:rPr>
        <w:t>九、</w:t>
      </w:r>
      <w:r>
        <w:rPr>
          <w:rFonts w:hint="eastAsia" w:ascii="宋体" w:hAnsi="宋体" w:eastAsia="宋体" w:cs="宋体"/>
          <w:sz w:val="21"/>
          <w:szCs w:val="21"/>
          <w:lang w:val="en-US" w:eastAsia="zh-CN"/>
        </w:rPr>
        <w:t>标准发行范围和数量的建议</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建议本标准在实验室专项领域的科研、生产、使用、培训、检验试验等范围内发行</w:t>
      </w:r>
      <w:r>
        <w:rPr>
          <w:rFonts w:hint="eastAsia" w:ascii="宋体" w:hAnsi="宋体" w:eastAsia="宋体" w:cs="宋体"/>
          <w:sz w:val="21"/>
          <w:szCs w:val="21"/>
          <w:lang w:val="en-US" w:eastAsia="zh-CN"/>
        </w:rPr>
        <w:t>，重点包括下列几类约 XX 家单位：</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a）实验室</w:t>
      </w:r>
      <w:r>
        <w:rPr>
          <w:rFonts w:hint="eastAsia" w:ascii="宋体" w:hAnsi="宋体" w:eastAsia="宋体" w:cs="宋体"/>
          <w:sz w:val="21"/>
          <w:szCs w:val="21"/>
          <w:lang w:val="en-US" w:eastAsia="zh-Hans"/>
        </w:rPr>
        <w:t>气阀</w:t>
      </w:r>
      <w:r>
        <w:rPr>
          <w:rFonts w:hint="eastAsia" w:ascii="宋体" w:hAnsi="宋体" w:eastAsia="宋体" w:cs="宋体"/>
          <w:sz w:val="21"/>
          <w:szCs w:val="21"/>
          <w:lang w:val="en-US" w:eastAsia="zh-CN"/>
        </w:rPr>
        <w:t>的生产厂商；</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b）此类产品的应用示范单位和企业；</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c）提供此类产品检测服务的检测机构；</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b w:val="0"/>
          <w:bCs w:val="0"/>
          <w:color w:val="333333"/>
          <w:kern w:val="2"/>
          <w:sz w:val="21"/>
          <w:szCs w:val="21"/>
          <w:shd w:val="clear" w:color="auto" w:fill="FFFFFF"/>
          <w:lang w:val="en-US" w:eastAsia="zh-CN" w:bidi="ar-SA"/>
        </w:rPr>
      </w:pPr>
      <w:r>
        <w:rPr>
          <w:rFonts w:hint="eastAsia" w:ascii="宋体" w:hAnsi="宋体" w:eastAsia="宋体" w:cs="宋体"/>
          <w:sz w:val="21"/>
          <w:szCs w:val="21"/>
          <w:lang w:val="en-US" w:eastAsia="zh-CN"/>
        </w:rPr>
        <w:t>d）对此类产品提供相关认证的机构。</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建议5年内发行数量 XXXX 份。</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十、</w:t>
      </w:r>
      <w:r>
        <w:rPr>
          <w:rFonts w:hint="eastAsia" w:ascii="宋体" w:hAnsi="宋体" w:eastAsia="宋体" w:cs="宋体"/>
          <w:sz w:val="21"/>
          <w:szCs w:val="21"/>
          <w:lang w:val="en-US" w:eastAsia="zh-CN"/>
        </w:rPr>
        <w:t>其他需要说明的事项</w:t>
      </w:r>
    </w:p>
    <w:p>
      <w:pPr>
        <w:pStyle w:val="8"/>
        <w:keepNext w:val="0"/>
        <w:keepLines w:val="0"/>
        <w:pageBreakBefore w:val="0"/>
        <w:numPr>
          <w:ilvl w:val="0"/>
          <w:numId w:val="0"/>
        </w:numPr>
        <w:kinsoku/>
        <w:wordWrap/>
        <w:overflowPunct/>
        <w:topLinePunct w:val="0"/>
        <w:bidi w:val="0"/>
        <w:adjustRightInd/>
        <w:snapToGrid/>
        <w:spacing w:line="360" w:lineRule="auto"/>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Hans"/>
        </w:rPr>
        <w:t>无</w:t>
      </w:r>
    </w:p>
    <w:p>
      <w:pPr>
        <w:pStyle w:val="3"/>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color w:val="auto"/>
          <w:sz w:val="21"/>
          <w:szCs w:val="21"/>
        </w:rPr>
      </w:pPr>
      <w:r>
        <w:rPr>
          <w:rFonts w:hint="eastAsia" w:cs="宋体"/>
          <w:color w:val="auto"/>
          <w:sz w:val="21"/>
          <w:szCs w:val="21"/>
          <w:lang w:eastAsia="zh-CN"/>
        </w:rPr>
        <w:t>《</w:t>
      </w:r>
      <w:r>
        <w:rPr>
          <w:rFonts w:hint="eastAsia" w:ascii="宋体" w:hAnsi="宋体" w:eastAsia="宋体" w:cs="宋体"/>
          <w:color w:val="auto"/>
          <w:sz w:val="21"/>
          <w:szCs w:val="21"/>
        </w:rPr>
        <w:t>实验室</w:t>
      </w:r>
      <w:r>
        <w:rPr>
          <w:rFonts w:hint="eastAsia" w:cs="宋体"/>
          <w:color w:val="auto"/>
          <w:sz w:val="21"/>
          <w:szCs w:val="21"/>
          <w:lang w:eastAsia="zh-CN"/>
        </w:rPr>
        <w:t>用水气配件技术规范》</w:t>
      </w:r>
      <w:r>
        <w:rPr>
          <w:rFonts w:hint="eastAsia" w:ascii="宋体" w:hAnsi="宋体" w:eastAsia="宋体" w:cs="宋体"/>
          <w:color w:val="auto"/>
          <w:sz w:val="21"/>
          <w:szCs w:val="21"/>
        </w:rPr>
        <w:t>编制组</w:t>
      </w:r>
    </w:p>
    <w:p>
      <w:pPr>
        <w:pStyle w:val="3"/>
        <w:keepNext w:val="0"/>
        <w:keepLines w:val="0"/>
        <w:pageBreakBefore w:val="0"/>
        <w:widowControl/>
        <w:kinsoku/>
        <w:wordWrap w:val="0"/>
        <w:overflowPunct/>
        <w:topLinePunct w:val="0"/>
        <w:autoSpaceDE/>
        <w:autoSpaceDN/>
        <w:bidi w:val="0"/>
        <w:adjustRightInd/>
        <w:snapToGrid/>
        <w:ind w:left="0"/>
        <w:jc w:val="right"/>
        <w:textAlignment w:val="auto"/>
        <w:rPr>
          <w:rFonts w:hint="eastAsia" w:ascii="宋体" w:hAnsi="宋体" w:eastAsia="宋体" w:cs="宋体"/>
          <w:sz w:val="21"/>
          <w:szCs w:val="21"/>
        </w:rPr>
      </w:pPr>
      <w:r>
        <w:rPr>
          <w:rFonts w:hint="eastAsia" w:ascii="宋体" w:hAnsi="宋体" w:eastAsia="宋体" w:cs="宋体"/>
          <w:color w:val="auto"/>
          <w:sz w:val="21"/>
          <w:szCs w:val="21"/>
        </w:rPr>
        <w:t>202</w:t>
      </w:r>
      <w:r>
        <w:rPr>
          <w:rFonts w:hint="eastAsia" w:ascii="宋体" w:hAnsi="宋体" w:eastAsia="宋体" w:cs="宋体"/>
          <w:color w:val="auto"/>
          <w:sz w:val="21"/>
          <w:szCs w:val="21"/>
          <w:lang w:val="en-US" w:eastAsia="zh-CN"/>
        </w:rPr>
        <w:t>2</w:t>
      </w:r>
      <w:r>
        <w:rPr>
          <w:rFonts w:hint="eastAsia" w:ascii="宋体" w:hAnsi="宋体" w:eastAsia="宋体" w:cs="宋体"/>
          <w:color w:val="auto"/>
          <w:sz w:val="21"/>
          <w:szCs w:val="21"/>
        </w:rPr>
        <w:t xml:space="preserve">年 </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 xml:space="preserve"> 月 2</w:t>
      </w:r>
      <w:r>
        <w:rPr>
          <w:rFonts w:hint="eastAsia" w:ascii="宋体" w:hAnsi="宋体" w:eastAsia="宋体" w:cs="宋体"/>
          <w:color w:val="auto"/>
          <w:sz w:val="21"/>
          <w:szCs w:val="21"/>
          <w:lang w:val="en-US" w:eastAsia="zh-CN"/>
        </w:rPr>
        <w:t>0</w:t>
      </w:r>
      <w:r>
        <w:rPr>
          <w:rFonts w:hint="eastAsia" w:ascii="宋体" w:hAnsi="宋体" w:eastAsia="宋体" w:cs="宋体"/>
          <w:color w:val="auto"/>
          <w:sz w:val="21"/>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0D3550"/>
    <w:multiLevelType w:val="singleLevel"/>
    <w:tmpl w:val="8C0D3550"/>
    <w:lvl w:ilvl="0" w:tentative="0">
      <w:start w:val="1"/>
      <w:numFmt w:val="decimal"/>
      <w:suff w:val="nothing"/>
      <w:lvlText w:val="%1、"/>
      <w:lvlJc w:val="left"/>
    </w:lvl>
  </w:abstractNum>
  <w:abstractNum w:abstractNumId="1">
    <w:nsid w:val="A7D685A9"/>
    <w:multiLevelType w:val="singleLevel"/>
    <w:tmpl w:val="A7D685A9"/>
    <w:lvl w:ilvl="0" w:tentative="0">
      <w:start w:val="1"/>
      <w:numFmt w:val="decimal"/>
      <w:suff w:val="nothing"/>
      <w:lvlText w:val="%1、"/>
      <w:lvlJc w:val="left"/>
    </w:lvl>
  </w:abstractNum>
  <w:abstractNum w:abstractNumId="2">
    <w:nsid w:val="C8436134"/>
    <w:multiLevelType w:val="singleLevel"/>
    <w:tmpl w:val="C8436134"/>
    <w:lvl w:ilvl="0" w:tentative="0">
      <w:start w:val="1"/>
      <w:numFmt w:val="chineseCounting"/>
      <w:suff w:val="nothing"/>
      <w:lvlText w:val="%1、"/>
      <w:lvlJc w:val="left"/>
      <w:rPr>
        <w:rFonts w:hint="eastAsia"/>
      </w:rPr>
    </w:lvl>
  </w:abstractNum>
  <w:abstractNum w:abstractNumId="3">
    <w:nsid w:val="46D954E7"/>
    <w:multiLevelType w:val="singleLevel"/>
    <w:tmpl w:val="46D954E7"/>
    <w:lvl w:ilvl="0" w:tentative="0">
      <w:start w:val="4"/>
      <w:numFmt w:val="decimal"/>
      <w:suff w:val="nothing"/>
      <w:lvlText w:val="（%1）"/>
      <w:lvlJc w:val="left"/>
    </w:lvl>
  </w:abstractNum>
  <w:abstractNum w:abstractNumId="4">
    <w:nsid w:val="582C2697"/>
    <w:multiLevelType w:val="singleLevel"/>
    <w:tmpl w:val="582C2697"/>
    <w:lvl w:ilvl="0" w:tentative="0">
      <w:start w:val="8"/>
      <w:numFmt w:val="decimal"/>
      <w:suff w:val="space"/>
      <w:lvlText w:val="（%1）"/>
      <w:lvlJc w:val="left"/>
    </w:lvl>
  </w:abstractNum>
  <w:num w:numId="1">
    <w:abstractNumId w:val="2"/>
  </w:num>
  <w:num w:numId="2">
    <w:abstractNumId w:val="0"/>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AF27BC"/>
    <w:rsid w:val="00AE54E7"/>
    <w:rsid w:val="00BC67FD"/>
    <w:rsid w:val="01627A2D"/>
    <w:rsid w:val="01C42B8B"/>
    <w:rsid w:val="02206AD4"/>
    <w:rsid w:val="06450564"/>
    <w:rsid w:val="069621C8"/>
    <w:rsid w:val="06AB0902"/>
    <w:rsid w:val="09F55D15"/>
    <w:rsid w:val="0D292DC9"/>
    <w:rsid w:val="11CA0889"/>
    <w:rsid w:val="14E94B97"/>
    <w:rsid w:val="176E00BD"/>
    <w:rsid w:val="17897EF2"/>
    <w:rsid w:val="1BCE536A"/>
    <w:rsid w:val="1D1A76AB"/>
    <w:rsid w:val="1D954F84"/>
    <w:rsid w:val="20AD0837"/>
    <w:rsid w:val="22183255"/>
    <w:rsid w:val="27433308"/>
    <w:rsid w:val="28064CA0"/>
    <w:rsid w:val="281F7AF5"/>
    <w:rsid w:val="2D536675"/>
    <w:rsid w:val="2D76516E"/>
    <w:rsid w:val="312049B6"/>
    <w:rsid w:val="345571FE"/>
    <w:rsid w:val="385F3959"/>
    <w:rsid w:val="38C5347F"/>
    <w:rsid w:val="38D65DFB"/>
    <w:rsid w:val="396C0E37"/>
    <w:rsid w:val="3BF561DD"/>
    <w:rsid w:val="3FA12FE6"/>
    <w:rsid w:val="3FEFE172"/>
    <w:rsid w:val="40A76100"/>
    <w:rsid w:val="426740D3"/>
    <w:rsid w:val="427774C5"/>
    <w:rsid w:val="438D750A"/>
    <w:rsid w:val="4486520B"/>
    <w:rsid w:val="479C1D19"/>
    <w:rsid w:val="49AD58FD"/>
    <w:rsid w:val="49CF224E"/>
    <w:rsid w:val="49FC0FCC"/>
    <w:rsid w:val="4C237A7B"/>
    <w:rsid w:val="4C92075D"/>
    <w:rsid w:val="4CFC6ABE"/>
    <w:rsid w:val="5060514F"/>
    <w:rsid w:val="50C17863"/>
    <w:rsid w:val="52A40B8F"/>
    <w:rsid w:val="53AF7B87"/>
    <w:rsid w:val="554168D4"/>
    <w:rsid w:val="56A801B2"/>
    <w:rsid w:val="588C0756"/>
    <w:rsid w:val="5C006EEC"/>
    <w:rsid w:val="5C806824"/>
    <w:rsid w:val="5F3ED668"/>
    <w:rsid w:val="60FB0ED2"/>
    <w:rsid w:val="633D0FCB"/>
    <w:rsid w:val="63762601"/>
    <w:rsid w:val="63AF27BC"/>
    <w:rsid w:val="67472418"/>
    <w:rsid w:val="6BF95CAB"/>
    <w:rsid w:val="6DDFB285"/>
    <w:rsid w:val="7153387A"/>
    <w:rsid w:val="72CC3E12"/>
    <w:rsid w:val="734F52B6"/>
    <w:rsid w:val="79E23904"/>
    <w:rsid w:val="7A3E3B4E"/>
    <w:rsid w:val="7A6D7F90"/>
    <w:rsid w:val="7AA74DCC"/>
    <w:rsid w:val="7AF818A6"/>
    <w:rsid w:val="7BFE0B7D"/>
    <w:rsid w:val="7CA91D79"/>
    <w:rsid w:val="7FA74504"/>
    <w:rsid w:val="AEF5A330"/>
    <w:rsid w:val="D4FFD3A4"/>
    <w:rsid w:val="DBFCB52D"/>
    <w:rsid w:val="DF7CFE69"/>
    <w:rsid w:val="EFFF40F5"/>
    <w:rsid w:val="F3EFBAEA"/>
    <w:rsid w:val="F63FA797"/>
    <w:rsid w:val="FDF41F2F"/>
    <w:rsid w:val="FF7D9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table" w:styleId="5">
    <w:name w:val="Table Grid"/>
    <w:basedOn w:val="4"/>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7">
    <w:name w:val="封面标准名称"/>
    <w:qFormat/>
    <w:uiPriority w:val="0"/>
    <w:pPr>
      <w:widowControl w:val="0"/>
      <w:spacing w:line="680" w:lineRule="exact"/>
      <w:jc w:val="center"/>
      <w:textAlignment w:val="center"/>
    </w:pPr>
    <w:rPr>
      <w:rFonts w:ascii="黑体" w:hAnsi="Times New Roman" w:eastAsia="黑体" w:cs="Times New Roman"/>
      <w:sz w:val="52"/>
      <w:szCs w:val="22"/>
      <w:lang w:val="en-US" w:eastAsia="zh-CN" w:bidi="ar-SA"/>
    </w:rPr>
  </w:style>
  <w:style w:type="paragraph" w:customStyle="1" w:styleId="8">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kern w:val="2"/>
      <w:sz w:val="21"/>
      <w:szCs w:val="22"/>
      <w:lang w:val="en-US" w:eastAsia="zh-CN" w:bidi="ar-SA"/>
    </w:rPr>
  </w:style>
  <w:style w:type="paragraph" w:customStyle="1" w:styleId="9">
    <w:name w:val="List Paragraph"/>
    <w:basedOn w:val="1"/>
    <w:qFormat/>
    <w:uiPriority w:val="34"/>
    <w:pPr>
      <w:ind w:firstLine="420" w:firstLineChars="200"/>
    </w:pPr>
  </w:style>
  <w:style w:type="paragraph" w:customStyle="1" w:styleId="10">
    <w:name w:val="列出段落1"/>
    <w:basedOn w:val="1"/>
    <w:qFormat/>
    <w:uiPriority w:val="1"/>
    <w:pPr>
      <w:ind w:left="1204" w:hanging="1416"/>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2021-06-24T23:55:00Z</dcterms:created>
  <dc:creator>张达</dc:creator>
  <cp:lastModifiedBy>辣椒不甜</cp:lastModifiedBy>
  <dcterms:modified xsi:type="dcterms:W3CDTF">2022-01-20T08:52:07Z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6F556A887B574A5BAF5C008925B057EC</vt:lpwstr>
  </property>
</Properties>
</file>